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F7A15" w14:textId="77777777" w:rsidR="003A6CF7" w:rsidRPr="00654694" w:rsidRDefault="003A6CF7" w:rsidP="00654694">
      <w:pPr>
        <w:pStyle w:val="NoSpacing"/>
        <w:shd w:val="clear" w:color="auto" w:fill="0070C0"/>
        <w:ind w:left="-567" w:right="-347"/>
        <w:rPr>
          <w:rFonts w:asciiTheme="majorHAnsi" w:hAnsiTheme="majorHAnsi" w:cstheme="majorHAnsi"/>
          <w:b/>
          <w:color w:val="FFFFFF" w:themeColor="background1"/>
          <w:sz w:val="28"/>
          <w:szCs w:val="28"/>
        </w:rPr>
      </w:pPr>
      <w:r w:rsidRPr="00654694">
        <w:rPr>
          <w:rFonts w:asciiTheme="majorHAnsi" w:hAnsiTheme="majorHAnsi" w:cstheme="majorHAnsi"/>
          <w:b/>
          <w:color w:val="FFFFFF" w:themeColor="background1"/>
          <w:sz w:val="28"/>
          <w:szCs w:val="28"/>
        </w:rPr>
        <w:t>REDD Exchange Results Bar</w:t>
      </w:r>
    </w:p>
    <w:p w14:paraId="1B80D43F" w14:textId="77777777" w:rsidR="00654694" w:rsidRDefault="00654694" w:rsidP="00E104D4">
      <w:pPr>
        <w:pStyle w:val="NoSpacing"/>
        <w:ind w:left="-567" w:right="-347"/>
        <w:rPr>
          <w:rFonts w:asciiTheme="majorHAnsi" w:hAnsiTheme="majorHAnsi" w:cstheme="majorHAnsi"/>
          <w:b/>
          <w:sz w:val="22"/>
          <w:szCs w:val="22"/>
        </w:rPr>
      </w:pPr>
    </w:p>
    <w:p w14:paraId="75D6BE87" w14:textId="384B4BED" w:rsidR="00E20B4F" w:rsidRPr="00654694" w:rsidRDefault="005C2B5F" w:rsidP="00E104D4">
      <w:pPr>
        <w:pStyle w:val="NoSpacing"/>
        <w:ind w:left="-567" w:right="-347"/>
        <w:rPr>
          <w:rFonts w:asciiTheme="majorHAnsi" w:hAnsiTheme="majorHAnsi" w:cstheme="majorHAnsi"/>
          <w:b/>
          <w:sz w:val="22"/>
          <w:szCs w:val="22"/>
        </w:rPr>
      </w:pPr>
      <w:r w:rsidRPr="00654694">
        <w:rPr>
          <w:rFonts w:asciiTheme="majorHAnsi" w:hAnsiTheme="majorHAnsi" w:cstheme="majorHAnsi"/>
          <w:b/>
          <w:sz w:val="22"/>
          <w:szCs w:val="22"/>
        </w:rPr>
        <w:t xml:space="preserve">Transparency International </w:t>
      </w:r>
      <w:r w:rsidR="003851E5" w:rsidRPr="00654694">
        <w:rPr>
          <w:rFonts w:asciiTheme="majorHAnsi" w:hAnsiTheme="majorHAnsi" w:cstheme="majorHAnsi"/>
          <w:b/>
          <w:sz w:val="22"/>
          <w:szCs w:val="22"/>
        </w:rPr>
        <w:t>(TI)</w:t>
      </w:r>
    </w:p>
    <w:p w14:paraId="644A802E" w14:textId="77777777" w:rsidR="003A6CF7" w:rsidRPr="00654694" w:rsidRDefault="003A6CF7" w:rsidP="00E104D4">
      <w:pPr>
        <w:pStyle w:val="NoSpacing"/>
        <w:ind w:left="-567" w:right="-347"/>
        <w:rPr>
          <w:rFonts w:asciiTheme="majorHAnsi" w:hAnsiTheme="majorHAnsi" w:cstheme="majorHAnsi"/>
          <w:b/>
          <w:color w:val="7F7F7F" w:themeColor="text1" w:themeTint="80"/>
          <w:sz w:val="22"/>
          <w:szCs w:val="22"/>
        </w:rPr>
      </w:pPr>
    </w:p>
    <w:p w14:paraId="241AD85D" w14:textId="77777777" w:rsidR="003A6CF7" w:rsidRPr="00654694" w:rsidRDefault="003A6CF7" w:rsidP="003A6CF7">
      <w:pPr>
        <w:pStyle w:val="NoSpacing"/>
        <w:pBdr>
          <w:bottom w:val="single" w:sz="12" w:space="1" w:color="0070C0"/>
        </w:pBdr>
        <w:ind w:left="-567" w:right="-347"/>
        <w:rPr>
          <w:rFonts w:asciiTheme="majorHAnsi" w:hAnsiTheme="majorHAnsi" w:cstheme="majorHAnsi"/>
          <w:b/>
          <w:color w:val="0070C0"/>
          <w:sz w:val="22"/>
          <w:szCs w:val="22"/>
        </w:rPr>
      </w:pPr>
      <w:r w:rsidRPr="00654694">
        <w:rPr>
          <w:rFonts w:asciiTheme="majorHAnsi" w:hAnsiTheme="majorHAnsi" w:cstheme="majorHAnsi"/>
          <w:b/>
          <w:color w:val="0070C0"/>
          <w:sz w:val="22"/>
          <w:szCs w:val="22"/>
        </w:rPr>
        <w:t>Project Title:</w:t>
      </w:r>
    </w:p>
    <w:p w14:paraId="4EEE0D75" w14:textId="77777777" w:rsidR="003A6CF7" w:rsidRPr="00654694" w:rsidRDefault="003A6CF7" w:rsidP="00E104D4">
      <w:pPr>
        <w:pStyle w:val="NoSpacing"/>
        <w:ind w:left="-567" w:right="-347"/>
        <w:rPr>
          <w:rFonts w:asciiTheme="majorHAnsi" w:hAnsiTheme="majorHAnsi" w:cstheme="majorHAnsi"/>
          <w:b/>
          <w:color w:val="7F7F7F" w:themeColor="text1" w:themeTint="80"/>
          <w:sz w:val="22"/>
          <w:szCs w:val="22"/>
        </w:rPr>
      </w:pPr>
    </w:p>
    <w:p w14:paraId="097D32DC" w14:textId="34EB2A06" w:rsidR="00E20B4F" w:rsidRPr="00654694" w:rsidRDefault="00E20B4F" w:rsidP="00E104D4">
      <w:pPr>
        <w:pStyle w:val="NoSpacing"/>
        <w:ind w:left="-567" w:right="-347"/>
        <w:rPr>
          <w:rFonts w:asciiTheme="majorHAnsi" w:hAnsiTheme="majorHAnsi" w:cstheme="majorHAnsi"/>
          <w:b/>
          <w:color w:val="7F7F7F" w:themeColor="text1" w:themeTint="80"/>
          <w:sz w:val="22"/>
          <w:szCs w:val="22"/>
        </w:rPr>
      </w:pPr>
      <w:r w:rsidRPr="00654694">
        <w:rPr>
          <w:rFonts w:asciiTheme="majorHAnsi" w:hAnsiTheme="majorHAnsi" w:cstheme="majorHAnsi"/>
          <w:b/>
          <w:color w:val="7F7F7F" w:themeColor="text1" w:themeTint="80"/>
          <w:sz w:val="22"/>
          <w:szCs w:val="22"/>
        </w:rPr>
        <w:t xml:space="preserve">PAC REDD: Civil Society Capacity Building for Preventative Anti-Corruption Measures in REDD  </w:t>
      </w:r>
    </w:p>
    <w:p w14:paraId="460943CE" w14:textId="77777777" w:rsidR="00E20B4F" w:rsidRPr="00654694" w:rsidRDefault="00E20B4F" w:rsidP="00AF7E79">
      <w:pPr>
        <w:pStyle w:val="NoSpacing"/>
        <w:ind w:right="-347"/>
        <w:rPr>
          <w:rFonts w:asciiTheme="majorHAnsi" w:hAnsiTheme="majorHAnsi" w:cstheme="majorHAnsi"/>
          <w:b/>
          <w:sz w:val="22"/>
          <w:szCs w:val="22"/>
        </w:rPr>
      </w:pPr>
    </w:p>
    <w:p w14:paraId="63C0FF86" w14:textId="4F330763" w:rsidR="003A6CF7" w:rsidRPr="00654694" w:rsidRDefault="003A6CF7" w:rsidP="003A6CF7">
      <w:pPr>
        <w:pStyle w:val="NoSpacing"/>
        <w:pBdr>
          <w:bottom w:val="single" w:sz="12" w:space="1" w:color="0070C0"/>
        </w:pBdr>
        <w:ind w:left="-567" w:right="-347"/>
        <w:rPr>
          <w:rFonts w:asciiTheme="majorHAnsi" w:hAnsiTheme="majorHAnsi" w:cstheme="majorHAnsi"/>
          <w:b/>
          <w:color w:val="0070C0"/>
          <w:sz w:val="22"/>
          <w:szCs w:val="22"/>
        </w:rPr>
      </w:pPr>
      <w:r w:rsidRPr="00654694">
        <w:rPr>
          <w:rFonts w:asciiTheme="majorHAnsi" w:hAnsiTheme="majorHAnsi" w:cstheme="majorHAnsi"/>
          <w:b/>
          <w:color w:val="0070C0"/>
          <w:sz w:val="22"/>
          <w:szCs w:val="22"/>
        </w:rPr>
        <w:t>Project Summary:</w:t>
      </w:r>
    </w:p>
    <w:p w14:paraId="7E17B149" w14:textId="77777777" w:rsidR="003A6CF7" w:rsidRPr="00654694" w:rsidRDefault="003A6CF7" w:rsidP="003A6CF7">
      <w:pPr>
        <w:pStyle w:val="NoSpacing"/>
        <w:ind w:left="-567" w:right="-347"/>
        <w:rPr>
          <w:rFonts w:asciiTheme="majorHAnsi" w:hAnsiTheme="majorHAnsi" w:cstheme="majorHAnsi"/>
          <w:b/>
          <w:color w:val="7F7F7F" w:themeColor="text1" w:themeTint="80"/>
          <w:sz w:val="22"/>
          <w:szCs w:val="22"/>
        </w:rPr>
      </w:pPr>
    </w:p>
    <w:p w14:paraId="0F07FF9E" w14:textId="41BE0FA7" w:rsidR="00E104D4" w:rsidRPr="00654694" w:rsidRDefault="00341BF4" w:rsidP="00E104D4">
      <w:pPr>
        <w:pStyle w:val="NoSpacing"/>
        <w:ind w:left="-567" w:right="-347"/>
        <w:rPr>
          <w:rFonts w:asciiTheme="majorHAnsi" w:hAnsiTheme="majorHAnsi" w:cstheme="majorHAnsi"/>
          <w:sz w:val="22"/>
          <w:szCs w:val="22"/>
        </w:rPr>
      </w:pPr>
      <w:r w:rsidRPr="00341BF4">
        <w:rPr>
          <w:rFonts w:asciiTheme="majorHAnsi" w:hAnsiTheme="majorHAnsi" w:cstheme="majorHAnsi"/>
          <w:sz w:val="22"/>
          <w:szCs w:val="22"/>
          <w:lang w:val="en-GB"/>
        </w:rPr>
        <w:t>Preventative Anti-Corruption Measures</w:t>
      </w:r>
      <w:r w:rsidRPr="00341BF4">
        <w:rPr>
          <w:rFonts w:asciiTheme="majorHAnsi" w:hAnsiTheme="majorHAnsi" w:cstheme="majorHAnsi"/>
          <w:b/>
          <w:sz w:val="22"/>
          <w:szCs w:val="22"/>
          <w:lang w:val="en-GB"/>
        </w:rPr>
        <w:t xml:space="preserve"> </w:t>
      </w:r>
      <w:r>
        <w:rPr>
          <w:rFonts w:asciiTheme="majorHAnsi" w:hAnsiTheme="majorHAnsi" w:cstheme="majorHAnsi"/>
          <w:b/>
          <w:sz w:val="22"/>
          <w:szCs w:val="22"/>
          <w:lang w:val="en-GB"/>
        </w:rPr>
        <w:t>(</w:t>
      </w:r>
      <w:r w:rsidR="003851E5" w:rsidRPr="00654694">
        <w:rPr>
          <w:rFonts w:asciiTheme="majorHAnsi" w:hAnsiTheme="majorHAnsi" w:cstheme="majorHAnsi"/>
          <w:sz w:val="22"/>
          <w:szCs w:val="22"/>
        </w:rPr>
        <w:t>PAC</w:t>
      </w:r>
      <w:r>
        <w:rPr>
          <w:rFonts w:asciiTheme="majorHAnsi" w:hAnsiTheme="majorHAnsi" w:cstheme="majorHAnsi"/>
          <w:sz w:val="22"/>
          <w:szCs w:val="22"/>
        </w:rPr>
        <w:t>)</w:t>
      </w:r>
      <w:r w:rsidR="003851E5" w:rsidRPr="00654694">
        <w:rPr>
          <w:rFonts w:asciiTheme="majorHAnsi" w:hAnsiTheme="majorHAnsi" w:cstheme="majorHAnsi"/>
          <w:sz w:val="22"/>
          <w:szCs w:val="22"/>
        </w:rPr>
        <w:t xml:space="preserve"> REDD was born of TI’s concern that, left unchallenged, corruption </w:t>
      </w:r>
      <w:r w:rsidR="003A6CF7" w:rsidRPr="00654694">
        <w:rPr>
          <w:rFonts w:asciiTheme="majorHAnsi" w:hAnsiTheme="majorHAnsi" w:cstheme="majorHAnsi"/>
          <w:sz w:val="22"/>
          <w:szCs w:val="22"/>
        </w:rPr>
        <w:t xml:space="preserve">and fraud </w:t>
      </w:r>
      <w:r w:rsidR="003851E5" w:rsidRPr="00654694">
        <w:rPr>
          <w:rFonts w:asciiTheme="majorHAnsi" w:hAnsiTheme="majorHAnsi" w:cstheme="majorHAnsi"/>
          <w:sz w:val="22"/>
          <w:szCs w:val="22"/>
        </w:rPr>
        <w:t xml:space="preserve">could significantly undermine the effectiveness of REDD+. </w:t>
      </w:r>
      <w:r w:rsidR="003A6CF7" w:rsidRPr="00654694">
        <w:rPr>
          <w:rFonts w:asciiTheme="majorHAnsi" w:hAnsiTheme="majorHAnsi" w:cstheme="majorHAnsi"/>
          <w:sz w:val="22"/>
          <w:szCs w:val="22"/>
        </w:rPr>
        <w:t xml:space="preserve">Strengthening anti-corruption through improved transparency and accountability contribute toward ensuring robust governance to enable the environmental  and social benefits which REDD+ aims to achieve. </w:t>
      </w:r>
      <w:r w:rsidR="000047CA" w:rsidRPr="00654694">
        <w:rPr>
          <w:rFonts w:asciiTheme="majorHAnsi" w:hAnsiTheme="majorHAnsi" w:cstheme="majorHAnsi"/>
          <w:sz w:val="22"/>
          <w:szCs w:val="22"/>
        </w:rPr>
        <w:t xml:space="preserve">Through mutually reinforcing research, advocacy, networking and capacity building activities, </w:t>
      </w:r>
      <w:r w:rsidR="003A6CF7" w:rsidRPr="00654694">
        <w:rPr>
          <w:rFonts w:asciiTheme="majorHAnsi" w:hAnsiTheme="majorHAnsi" w:cstheme="majorHAnsi"/>
          <w:sz w:val="22"/>
          <w:szCs w:val="22"/>
        </w:rPr>
        <w:t xml:space="preserve">TI has </w:t>
      </w:r>
      <w:r w:rsidR="003851E5" w:rsidRPr="00654694">
        <w:rPr>
          <w:rFonts w:asciiTheme="majorHAnsi" w:hAnsiTheme="majorHAnsi" w:cstheme="majorHAnsi"/>
          <w:sz w:val="22"/>
          <w:szCs w:val="22"/>
        </w:rPr>
        <w:t>diagnos</w:t>
      </w:r>
      <w:r w:rsidR="003A6CF7" w:rsidRPr="00654694">
        <w:rPr>
          <w:rFonts w:asciiTheme="majorHAnsi" w:hAnsiTheme="majorHAnsi" w:cstheme="majorHAnsi"/>
          <w:sz w:val="22"/>
          <w:szCs w:val="22"/>
        </w:rPr>
        <w:t xml:space="preserve">ed </w:t>
      </w:r>
      <w:r w:rsidR="003851E5" w:rsidRPr="00654694">
        <w:rPr>
          <w:rFonts w:asciiTheme="majorHAnsi" w:hAnsiTheme="majorHAnsi" w:cstheme="majorHAnsi"/>
          <w:sz w:val="22"/>
          <w:szCs w:val="22"/>
        </w:rPr>
        <w:t>risks and finding solutions in Indonesia</w:t>
      </w:r>
      <w:r w:rsidR="000047CA" w:rsidRPr="00654694">
        <w:rPr>
          <w:rFonts w:asciiTheme="majorHAnsi" w:hAnsiTheme="majorHAnsi" w:cstheme="majorHAnsi"/>
          <w:sz w:val="22"/>
          <w:szCs w:val="22"/>
        </w:rPr>
        <w:t xml:space="preserve">, Papua New Guinea, Vietnam, as well as on the international stage. This work comes at a critical time in the formulation of REDD+ policy and </w:t>
      </w:r>
      <w:r w:rsidR="003A6CF7" w:rsidRPr="00654694">
        <w:rPr>
          <w:rFonts w:asciiTheme="majorHAnsi" w:hAnsiTheme="majorHAnsi" w:cstheme="majorHAnsi"/>
          <w:sz w:val="22"/>
          <w:szCs w:val="22"/>
        </w:rPr>
        <w:t>the piloting of projects.</w:t>
      </w:r>
      <w:r w:rsidR="00595A84" w:rsidRPr="00654694">
        <w:rPr>
          <w:rFonts w:asciiTheme="majorHAnsi" w:hAnsiTheme="majorHAnsi" w:cstheme="majorHAnsi"/>
          <w:sz w:val="22"/>
          <w:szCs w:val="22"/>
        </w:rPr>
        <w:t xml:space="preserve"> TI has established itself</w:t>
      </w:r>
      <w:r w:rsidR="000047CA" w:rsidRPr="00654694">
        <w:rPr>
          <w:rFonts w:asciiTheme="majorHAnsi" w:hAnsiTheme="majorHAnsi" w:cstheme="majorHAnsi"/>
          <w:sz w:val="22"/>
          <w:szCs w:val="22"/>
        </w:rPr>
        <w:t xml:space="preserve"> as a go-to for advice on the creation, enforcement and monitoring of anti-corruption safeguards, and the furthering of transparency, accountability and citizen engagement in REDD+.  </w:t>
      </w:r>
    </w:p>
    <w:p w14:paraId="52F1EE5A" w14:textId="77777777" w:rsidR="00E104D4" w:rsidRPr="00654694" w:rsidRDefault="00E104D4" w:rsidP="00AF7E79">
      <w:pPr>
        <w:pStyle w:val="NoSpacing"/>
        <w:ind w:right="-347"/>
        <w:rPr>
          <w:rFonts w:asciiTheme="majorHAnsi" w:hAnsiTheme="majorHAnsi" w:cstheme="majorHAnsi"/>
          <w:sz w:val="22"/>
          <w:szCs w:val="22"/>
        </w:rPr>
      </w:pPr>
    </w:p>
    <w:p w14:paraId="716D3858" w14:textId="6985D66B" w:rsidR="003A6CF7" w:rsidRPr="00654694" w:rsidRDefault="003A6CF7" w:rsidP="003A6CF7">
      <w:pPr>
        <w:pStyle w:val="NoSpacing"/>
        <w:pBdr>
          <w:bottom w:val="single" w:sz="12" w:space="1" w:color="0070C0"/>
        </w:pBdr>
        <w:ind w:left="-567" w:right="-347"/>
        <w:rPr>
          <w:rFonts w:asciiTheme="majorHAnsi" w:hAnsiTheme="majorHAnsi" w:cstheme="majorHAnsi"/>
          <w:b/>
          <w:color w:val="0070C0"/>
          <w:sz w:val="22"/>
          <w:szCs w:val="22"/>
        </w:rPr>
      </w:pPr>
      <w:r w:rsidRPr="00654694">
        <w:rPr>
          <w:rFonts w:asciiTheme="majorHAnsi" w:hAnsiTheme="majorHAnsi" w:cstheme="majorHAnsi"/>
          <w:b/>
          <w:color w:val="0070C0"/>
          <w:sz w:val="22"/>
          <w:szCs w:val="22"/>
        </w:rPr>
        <w:t>Project Information:</w:t>
      </w:r>
    </w:p>
    <w:p w14:paraId="06176C14" w14:textId="77777777" w:rsidR="003A6CF7" w:rsidRPr="00654694" w:rsidRDefault="003A6CF7" w:rsidP="003A6CF7">
      <w:pPr>
        <w:pStyle w:val="NoSpacing"/>
        <w:ind w:left="-567" w:right="-347"/>
        <w:rPr>
          <w:rFonts w:asciiTheme="majorHAnsi" w:hAnsiTheme="majorHAnsi" w:cstheme="majorHAnsi"/>
          <w:b/>
          <w:color w:val="7F7F7F" w:themeColor="text1" w:themeTint="80"/>
          <w:sz w:val="22"/>
          <w:szCs w:val="22"/>
        </w:rPr>
      </w:pPr>
    </w:p>
    <w:p w14:paraId="279FF059" w14:textId="7B615EA1" w:rsidR="00E104D4" w:rsidRPr="00660267" w:rsidRDefault="009A59FC" w:rsidP="00E104D4">
      <w:pPr>
        <w:pStyle w:val="NoSpacing"/>
        <w:ind w:left="-567" w:right="-347"/>
        <w:rPr>
          <w:rFonts w:asciiTheme="majorHAnsi" w:hAnsiTheme="majorHAnsi" w:cstheme="majorHAnsi"/>
          <w:sz w:val="22"/>
          <w:szCs w:val="22"/>
          <w:lang w:val="nb-NO"/>
        </w:rPr>
      </w:pPr>
      <w:r w:rsidRPr="00654694">
        <w:rPr>
          <w:rFonts w:asciiTheme="majorHAnsi" w:hAnsiTheme="majorHAnsi" w:cstheme="majorHAnsi"/>
          <w:sz w:val="22"/>
          <w:szCs w:val="22"/>
        </w:rPr>
        <w:t xml:space="preserve">The </w:t>
      </w:r>
      <w:r w:rsidR="00E104D4" w:rsidRPr="00654694">
        <w:rPr>
          <w:rFonts w:asciiTheme="majorHAnsi" w:hAnsiTheme="majorHAnsi" w:cstheme="majorHAnsi"/>
          <w:sz w:val="22"/>
          <w:szCs w:val="22"/>
        </w:rPr>
        <w:t xml:space="preserve">PAC REDD </w:t>
      </w:r>
      <w:r w:rsidRPr="00654694">
        <w:rPr>
          <w:rFonts w:asciiTheme="majorHAnsi" w:hAnsiTheme="majorHAnsi" w:cstheme="majorHAnsi"/>
          <w:sz w:val="22"/>
          <w:szCs w:val="22"/>
        </w:rPr>
        <w:t>project budget was NOK 12 million from June 2010 to August 2013</w:t>
      </w:r>
      <w:r w:rsidR="00E104D4" w:rsidRPr="00654694">
        <w:rPr>
          <w:rFonts w:asciiTheme="majorHAnsi" w:hAnsiTheme="majorHAnsi" w:cstheme="majorHAnsi"/>
          <w:sz w:val="22"/>
          <w:szCs w:val="22"/>
        </w:rPr>
        <w:t>, implemented globally (by TI</w:t>
      </w:r>
      <w:r w:rsidR="0092367B" w:rsidRPr="00654694">
        <w:rPr>
          <w:rFonts w:asciiTheme="majorHAnsi" w:hAnsiTheme="majorHAnsi" w:cstheme="majorHAnsi"/>
          <w:sz w:val="22"/>
          <w:szCs w:val="22"/>
        </w:rPr>
        <w:t>’s international s</w:t>
      </w:r>
      <w:r w:rsidR="00E104D4" w:rsidRPr="00654694">
        <w:rPr>
          <w:rFonts w:asciiTheme="majorHAnsi" w:hAnsiTheme="majorHAnsi" w:cstheme="majorHAnsi"/>
          <w:sz w:val="22"/>
          <w:szCs w:val="22"/>
        </w:rPr>
        <w:t xml:space="preserve">ecretariat) and in Indonesia (by </w:t>
      </w:r>
      <w:hyperlink r:id="rId9" w:history="1">
        <w:r w:rsidR="0092367B" w:rsidRPr="00654694">
          <w:rPr>
            <w:rStyle w:val="Hyperlink"/>
            <w:rFonts w:asciiTheme="majorHAnsi" w:hAnsiTheme="majorHAnsi" w:cstheme="majorHAnsi"/>
            <w:sz w:val="22"/>
            <w:szCs w:val="22"/>
            <w:lang w:val="en-GB"/>
          </w:rPr>
          <w:t>TI Indonesia</w:t>
        </w:r>
      </w:hyperlink>
      <w:r w:rsidR="00E104D4" w:rsidRPr="00654694">
        <w:rPr>
          <w:rFonts w:asciiTheme="majorHAnsi" w:hAnsiTheme="majorHAnsi" w:cstheme="majorHAnsi"/>
          <w:sz w:val="22"/>
          <w:szCs w:val="22"/>
        </w:rPr>
        <w:t xml:space="preserve">), Papua New Guinea (by </w:t>
      </w:r>
      <w:hyperlink r:id="rId10" w:history="1">
        <w:r w:rsidR="0092367B" w:rsidRPr="00654694">
          <w:rPr>
            <w:rStyle w:val="Hyperlink"/>
            <w:rFonts w:asciiTheme="majorHAnsi" w:hAnsiTheme="majorHAnsi" w:cstheme="majorHAnsi"/>
            <w:sz w:val="22"/>
            <w:szCs w:val="22"/>
          </w:rPr>
          <w:t>TI Papua New Guinea</w:t>
        </w:r>
      </w:hyperlink>
      <w:r w:rsidR="00595A84" w:rsidRPr="00654694">
        <w:rPr>
          <w:rStyle w:val="Hyperlink"/>
          <w:rFonts w:asciiTheme="majorHAnsi" w:hAnsiTheme="majorHAnsi" w:cstheme="majorHAnsi"/>
          <w:sz w:val="22"/>
          <w:szCs w:val="22"/>
        </w:rPr>
        <w:t xml:space="preserve"> (TI PNG)</w:t>
      </w:r>
      <w:r w:rsidR="00E104D4" w:rsidRPr="00654694">
        <w:rPr>
          <w:rFonts w:asciiTheme="majorHAnsi" w:hAnsiTheme="majorHAnsi" w:cstheme="majorHAnsi"/>
          <w:sz w:val="22"/>
          <w:szCs w:val="22"/>
        </w:rPr>
        <w:t xml:space="preserve">), and Vietnam (by </w:t>
      </w:r>
      <w:hyperlink r:id="rId11" w:history="1">
        <w:r w:rsidR="0092367B" w:rsidRPr="00654694">
          <w:rPr>
            <w:rStyle w:val="Hyperlink"/>
            <w:rFonts w:asciiTheme="majorHAnsi" w:hAnsiTheme="majorHAnsi" w:cstheme="majorHAnsi"/>
            <w:sz w:val="22"/>
            <w:szCs w:val="22"/>
          </w:rPr>
          <w:t>Toward Transparency Vietnam</w:t>
        </w:r>
      </w:hyperlink>
      <w:r w:rsidR="00595A84" w:rsidRPr="00654694">
        <w:rPr>
          <w:rStyle w:val="Hyperlink"/>
          <w:rFonts w:asciiTheme="majorHAnsi" w:hAnsiTheme="majorHAnsi" w:cstheme="majorHAnsi"/>
          <w:sz w:val="22"/>
          <w:szCs w:val="22"/>
        </w:rPr>
        <w:t xml:space="preserve"> (TT)</w:t>
      </w:r>
      <w:r w:rsidR="0092367B" w:rsidRPr="00654694">
        <w:rPr>
          <w:rFonts w:asciiTheme="majorHAnsi" w:hAnsiTheme="majorHAnsi" w:cstheme="majorHAnsi"/>
          <w:sz w:val="22"/>
          <w:szCs w:val="22"/>
        </w:rPr>
        <w:t xml:space="preserve">). </w:t>
      </w:r>
      <w:r w:rsidR="00E104D4" w:rsidRPr="00654694">
        <w:rPr>
          <w:rFonts w:asciiTheme="majorHAnsi" w:hAnsiTheme="majorHAnsi" w:cstheme="majorHAnsi"/>
          <w:sz w:val="22"/>
          <w:szCs w:val="22"/>
        </w:rPr>
        <w:t>This is one of three projects</w:t>
      </w:r>
      <w:r w:rsidR="00E104D4" w:rsidRPr="00654694">
        <w:rPr>
          <w:rFonts w:asciiTheme="majorHAnsi" w:hAnsiTheme="majorHAnsi" w:cstheme="majorHAnsi"/>
          <w:b/>
          <w:sz w:val="22"/>
          <w:szCs w:val="22"/>
        </w:rPr>
        <w:t xml:space="preserve"> </w:t>
      </w:r>
      <w:r w:rsidR="00E104D4" w:rsidRPr="00654694">
        <w:rPr>
          <w:rFonts w:asciiTheme="majorHAnsi" w:hAnsiTheme="majorHAnsi" w:cstheme="majorHAnsi"/>
          <w:sz w:val="22"/>
          <w:szCs w:val="22"/>
        </w:rPr>
        <w:t xml:space="preserve">under TI’s Climate Finance Integrity </w:t>
      </w:r>
      <w:proofErr w:type="spellStart"/>
      <w:r w:rsidR="00E104D4" w:rsidRPr="00654694">
        <w:rPr>
          <w:rFonts w:asciiTheme="majorHAnsi" w:hAnsiTheme="majorHAnsi" w:cstheme="majorHAnsi"/>
          <w:sz w:val="22"/>
          <w:szCs w:val="22"/>
        </w:rPr>
        <w:t>Programme</w:t>
      </w:r>
      <w:proofErr w:type="spellEnd"/>
      <w:r w:rsidR="00E104D4" w:rsidRPr="00654694">
        <w:rPr>
          <w:rFonts w:asciiTheme="majorHAnsi" w:hAnsiTheme="majorHAnsi" w:cstheme="majorHAnsi"/>
          <w:sz w:val="22"/>
          <w:szCs w:val="22"/>
        </w:rPr>
        <w:t>, funded</w:t>
      </w:r>
      <w:r w:rsidR="00341BF4">
        <w:rPr>
          <w:rFonts w:asciiTheme="majorHAnsi" w:hAnsiTheme="majorHAnsi" w:cstheme="majorHAnsi"/>
          <w:sz w:val="22"/>
          <w:szCs w:val="22"/>
        </w:rPr>
        <w:t xml:space="preserve"> by the </w:t>
      </w:r>
      <w:r w:rsidR="00341BF4" w:rsidRPr="00341BF4">
        <w:rPr>
          <w:rFonts w:asciiTheme="majorHAnsi" w:hAnsiTheme="majorHAnsi" w:cstheme="majorHAnsi"/>
          <w:iCs/>
          <w:sz w:val="22"/>
          <w:szCs w:val="22"/>
          <w:lang w:val="en-GB"/>
        </w:rPr>
        <w:t>Norwegian</w:t>
      </w:r>
      <w:r w:rsidR="00341BF4" w:rsidRPr="00341BF4">
        <w:rPr>
          <w:rFonts w:asciiTheme="majorHAnsi" w:hAnsiTheme="majorHAnsi" w:cstheme="majorHAnsi"/>
          <w:sz w:val="22"/>
          <w:szCs w:val="22"/>
          <w:lang w:val="en-GB"/>
        </w:rPr>
        <w:t xml:space="preserve"> Agency for Development Cooperation (</w:t>
      </w:r>
      <w:r w:rsidR="00341BF4" w:rsidRPr="00341BF4">
        <w:rPr>
          <w:rFonts w:asciiTheme="majorHAnsi" w:hAnsiTheme="majorHAnsi" w:cstheme="majorHAnsi"/>
          <w:iCs/>
          <w:sz w:val="22"/>
          <w:szCs w:val="22"/>
          <w:lang w:val="en-GB"/>
        </w:rPr>
        <w:t>NORAD</w:t>
      </w:r>
      <w:r w:rsidR="00341BF4" w:rsidRPr="00341BF4">
        <w:rPr>
          <w:rFonts w:asciiTheme="majorHAnsi" w:hAnsiTheme="majorHAnsi" w:cstheme="majorHAnsi"/>
          <w:sz w:val="22"/>
          <w:szCs w:val="22"/>
          <w:lang w:val="en-GB"/>
        </w:rPr>
        <w:t>)</w:t>
      </w:r>
      <w:r w:rsidR="00E104D4" w:rsidRPr="00341BF4">
        <w:rPr>
          <w:rFonts w:asciiTheme="majorHAnsi" w:hAnsiTheme="majorHAnsi" w:cstheme="majorHAnsi"/>
          <w:sz w:val="22"/>
          <w:szCs w:val="22"/>
        </w:rPr>
        <w:t>.</w:t>
      </w:r>
      <w:r w:rsidR="00660267">
        <w:rPr>
          <w:rFonts w:asciiTheme="majorHAnsi" w:hAnsiTheme="majorHAnsi" w:cstheme="majorHAnsi"/>
          <w:sz w:val="22"/>
          <w:szCs w:val="22"/>
        </w:rPr>
        <w:t xml:space="preserve"> Funding for this work will continue through 2013-2015. </w:t>
      </w:r>
      <w:r w:rsidR="00225ECB">
        <w:rPr>
          <w:rFonts w:asciiTheme="majorHAnsi" w:hAnsiTheme="majorHAnsi" w:cstheme="majorHAnsi"/>
          <w:sz w:val="22"/>
          <w:szCs w:val="22"/>
        </w:rPr>
        <w:t>These</w:t>
      </w:r>
      <w:r w:rsidR="00225ECB">
        <w:rPr>
          <w:rFonts w:asciiTheme="majorHAnsi" w:hAnsiTheme="majorHAnsi" w:cstheme="majorHAnsi"/>
          <w:sz w:val="22"/>
          <w:szCs w:val="22"/>
        </w:rPr>
        <w:t xml:space="preserve"> national chapters </w:t>
      </w:r>
      <w:r w:rsidR="00225ECB">
        <w:rPr>
          <w:rFonts w:asciiTheme="majorHAnsi" w:hAnsiTheme="majorHAnsi" w:cstheme="majorHAnsi"/>
          <w:sz w:val="22"/>
          <w:szCs w:val="22"/>
        </w:rPr>
        <w:t xml:space="preserve">were </w:t>
      </w:r>
      <w:r w:rsidR="00225ECB">
        <w:rPr>
          <w:rFonts w:asciiTheme="majorHAnsi" w:hAnsiTheme="majorHAnsi" w:cstheme="majorHAnsi"/>
          <w:sz w:val="22"/>
          <w:szCs w:val="22"/>
        </w:rPr>
        <w:t xml:space="preserve">selected </w:t>
      </w:r>
      <w:r w:rsidR="00225ECB">
        <w:rPr>
          <w:rFonts w:asciiTheme="majorHAnsi" w:hAnsiTheme="majorHAnsi" w:cstheme="majorHAnsi"/>
          <w:sz w:val="22"/>
          <w:szCs w:val="22"/>
        </w:rPr>
        <w:t xml:space="preserve">on the strength of their work on forest governance in previous years, and the reputation and networks that this has lent them. </w:t>
      </w:r>
    </w:p>
    <w:p w14:paraId="2651CCD6" w14:textId="77777777" w:rsidR="00E104D4" w:rsidRPr="00654694" w:rsidRDefault="00E104D4" w:rsidP="00E104D4">
      <w:pPr>
        <w:pStyle w:val="NoSpacing"/>
        <w:ind w:left="-567" w:right="-347"/>
        <w:rPr>
          <w:rFonts w:asciiTheme="majorHAnsi" w:hAnsiTheme="majorHAnsi" w:cstheme="majorHAnsi"/>
          <w:sz w:val="22"/>
          <w:szCs w:val="22"/>
        </w:rPr>
      </w:pPr>
    </w:p>
    <w:p w14:paraId="00601554" w14:textId="4872147D" w:rsidR="009A59FC" w:rsidRPr="00654694" w:rsidRDefault="0092367B" w:rsidP="00E104D4">
      <w:pPr>
        <w:pStyle w:val="NoSpacing"/>
        <w:ind w:left="-567" w:right="-347"/>
        <w:rPr>
          <w:rFonts w:asciiTheme="majorHAnsi" w:hAnsiTheme="majorHAnsi" w:cstheme="majorHAnsi"/>
          <w:b/>
          <w:sz w:val="22"/>
          <w:szCs w:val="22"/>
        </w:rPr>
      </w:pPr>
      <w:r w:rsidRPr="00654694">
        <w:rPr>
          <w:rFonts w:asciiTheme="majorHAnsi" w:hAnsiTheme="majorHAnsi" w:cstheme="majorHAnsi"/>
          <w:sz w:val="22"/>
          <w:szCs w:val="22"/>
        </w:rPr>
        <w:t>PAC REDD is aimed at ensuring</w:t>
      </w:r>
      <w:r w:rsidR="00595A84" w:rsidRPr="00654694">
        <w:rPr>
          <w:rFonts w:asciiTheme="majorHAnsi" w:hAnsiTheme="majorHAnsi" w:cstheme="majorHAnsi"/>
          <w:sz w:val="22"/>
          <w:szCs w:val="22"/>
        </w:rPr>
        <w:t xml:space="preserve"> that REDD+</w:t>
      </w:r>
      <w:r w:rsidR="009A59FC" w:rsidRPr="00654694">
        <w:rPr>
          <w:rFonts w:asciiTheme="majorHAnsi" w:hAnsiTheme="majorHAnsi" w:cstheme="majorHAnsi"/>
          <w:sz w:val="22"/>
          <w:szCs w:val="22"/>
        </w:rPr>
        <w:t xml:space="preserve"> meet</w:t>
      </w:r>
      <w:r w:rsidR="00595A84" w:rsidRPr="00654694">
        <w:rPr>
          <w:rFonts w:asciiTheme="majorHAnsi" w:hAnsiTheme="majorHAnsi" w:cstheme="majorHAnsi"/>
          <w:sz w:val="22"/>
          <w:szCs w:val="22"/>
        </w:rPr>
        <w:t>s its</w:t>
      </w:r>
      <w:r w:rsidR="009A59FC" w:rsidRPr="00654694">
        <w:rPr>
          <w:rFonts w:asciiTheme="majorHAnsi" w:hAnsiTheme="majorHAnsi" w:cstheme="majorHAnsi"/>
          <w:sz w:val="22"/>
          <w:szCs w:val="22"/>
        </w:rPr>
        <w:t xml:space="preserve"> intended objectives </w:t>
      </w:r>
      <w:r w:rsidRPr="00654694">
        <w:rPr>
          <w:rFonts w:asciiTheme="majorHAnsi" w:hAnsiTheme="majorHAnsi" w:cstheme="majorHAnsi"/>
          <w:sz w:val="22"/>
          <w:szCs w:val="22"/>
        </w:rPr>
        <w:t xml:space="preserve">through the adoption of transparency </w:t>
      </w:r>
      <w:r w:rsidR="00595A84" w:rsidRPr="00654694">
        <w:rPr>
          <w:rFonts w:asciiTheme="majorHAnsi" w:hAnsiTheme="majorHAnsi" w:cstheme="majorHAnsi"/>
          <w:sz w:val="22"/>
          <w:szCs w:val="22"/>
        </w:rPr>
        <w:t xml:space="preserve">and accountability </w:t>
      </w:r>
      <w:r w:rsidRPr="00654694">
        <w:rPr>
          <w:rFonts w:asciiTheme="majorHAnsi" w:hAnsiTheme="majorHAnsi" w:cstheme="majorHAnsi"/>
          <w:sz w:val="22"/>
          <w:szCs w:val="22"/>
        </w:rPr>
        <w:t>initiatives by relevant</w:t>
      </w:r>
      <w:r w:rsidR="009A59FC" w:rsidRPr="00654694">
        <w:rPr>
          <w:rFonts w:asciiTheme="majorHAnsi" w:hAnsiTheme="majorHAnsi" w:cstheme="majorHAnsi"/>
          <w:sz w:val="22"/>
          <w:szCs w:val="22"/>
        </w:rPr>
        <w:t xml:space="preserve"> government agencies, private sector </w:t>
      </w:r>
      <w:proofErr w:type="spellStart"/>
      <w:r w:rsidR="009A59FC" w:rsidRPr="00654694">
        <w:rPr>
          <w:rFonts w:asciiTheme="majorHAnsi" w:hAnsiTheme="majorHAnsi" w:cstheme="majorHAnsi"/>
          <w:sz w:val="22"/>
          <w:szCs w:val="22"/>
        </w:rPr>
        <w:t>organisations</w:t>
      </w:r>
      <w:proofErr w:type="spellEnd"/>
      <w:r w:rsidR="009A59FC" w:rsidRPr="00654694">
        <w:rPr>
          <w:rFonts w:asciiTheme="majorHAnsi" w:hAnsiTheme="majorHAnsi" w:cstheme="majorHAnsi"/>
          <w:sz w:val="22"/>
          <w:szCs w:val="22"/>
        </w:rPr>
        <w:t xml:space="preserve"> and financial institutions</w:t>
      </w:r>
      <w:r w:rsidRPr="00654694">
        <w:rPr>
          <w:rFonts w:asciiTheme="majorHAnsi" w:hAnsiTheme="majorHAnsi" w:cstheme="majorHAnsi"/>
          <w:sz w:val="22"/>
          <w:szCs w:val="22"/>
        </w:rPr>
        <w:t>,</w:t>
      </w:r>
      <w:r w:rsidR="009A59FC" w:rsidRPr="00654694">
        <w:rPr>
          <w:rFonts w:asciiTheme="majorHAnsi" w:hAnsiTheme="majorHAnsi" w:cstheme="majorHAnsi"/>
          <w:sz w:val="22"/>
          <w:szCs w:val="22"/>
        </w:rPr>
        <w:t xml:space="preserve"> and </w:t>
      </w:r>
      <w:r w:rsidRPr="00654694">
        <w:rPr>
          <w:rFonts w:asciiTheme="majorHAnsi" w:hAnsiTheme="majorHAnsi" w:cstheme="majorHAnsi"/>
          <w:sz w:val="22"/>
          <w:szCs w:val="22"/>
        </w:rPr>
        <w:t xml:space="preserve">having </w:t>
      </w:r>
      <w:r w:rsidR="009A59FC" w:rsidRPr="00654694">
        <w:rPr>
          <w:rFonts w:asciiTheme="majorHAnsi" w:hAnsiTheme="majorHAnsi" w:cstheme="majorHAnsi"/>
          <w:sz w:val="22"/>
          <w:szCs w:val="22"/>
        </w:rPr>
        <w:t>a civil society capable of monitoring integrity in REDD</w:t>
      </w:r>
      <w:r w:rsidRPr="00654694">
        <w:rPr>
          <w:rFonts w:asciiTheme="majorHAnsi" w:hAnsiTheme="majorHAnsi" w:cstheme="majorHAnsi"/>
          <w:sz w:val="22"/>
          <w:szCs w:val="22"/>
        </w:rPr>
        <w:t>+</w:t>
      </w:r>
      <w:r w:rsidR="009A59FC" w:rsidRPr="00654694">
        <w:rPr>
          <w:rFonts w:asciiTheme="majorHAnsi" w:hAnsiTheme="majorHAnsi" w:cstheme="majorHAnsi"/>
          <w:sz w:val="22"/>
          <w:szCs w:val="22"/>
        </w:rPr>
        <w:t xml:space="preserve"> mechanisms. </w:t>
      </w:r>
      <w:r w:rsidRPr="00654694">
        <w:rPr>
          <w:rFonts w:asciiTheme="majorHAnsi" w:hAnsiTheme="majorHAnsi" w:cstheme="majorHAnsi"/>
          <w:sz w:val="22"/>
          <w:szCs w:val="22"/>
        </w:rPr>
        <w:t>The project has engaged a</w:t>
      </w:r>
      <w:r w:rsidR="00E104D4" w:rsidRPr="00654694">
        <w:rPr>
          <w:rFonts w:asciiTheme="majorHAnsi" w:hAnsiTheme="majorHAnsi" w:cstheme="majorHAnsi"/>
          <w:sz w:val="22"/>
          <w:szCs w:val="22"/>
        </w:rPr>
        <w:t>ll</w:t>
      </w:r>
      <w:r w:rsidR="009A59FC" w:rsidRPr="00654694">
        <w:rPr>
          <w:rFonts w:asciiTheme="majorHAnsi" w:hAnsiTheme="majorHAnsi" w:cstheme="majorHAnsi"/>
          <w:sz w:val="22"/>
          <w:szCs w:val="22"/>
        </w:rPr>
        <w:t xml:space="preserve"> REDD</w:t>
      </w:r>
      <w:r w:rsidRPr="00654694">
        <w:rPr>
          <w:rFonts w:asciiTheme="majorHAnsi" w:hAnsiTheme="majorHAnsi" w:cstheme="majorHAnsi"/>
          <w:sz w:val="22"/>
          <w:szCs w:val="22"/>
        </w:rPr>
        <w:t>+</w:t>
      </w:r>
      <w:r w:rsidR="009A59FC" w:rsidRPr="00654694">
        <w:rPr>
          <w:rFonts w:asciiTheme="majorHAnsi" w:hAnsiTheme="majorHAnsi" w:cstheme="majorHAnsi"/>
          <w:sz w:val="22"/>
          <w:szCs w:val="22"/>
        </w:rPr>
        <w:t xml:space="preserve"> stakeholder groups</w:t>
      </w:r>
      <w:r w:rsidR="00E104D4" w:rsidRPr="00654694">
        <w:rPr>
          <w:rFonts w:asciiTheme="majorHAnsi" w:hAnsiTheme="majorHAnsi" w:cstheme="majorHAnsi"/>
          <w:sz w:val="22"/>
          <w:szCs w:val="22"/>
        </w:rPr>
        <w:t xml:space="preserve">, with a special emphasis on collaboration with </w:t>
      </w:r>
      <w:r w:rsidR="009A59FC" w:rsidRPr="00654694">
        <w:rPr>
          <w:rFonts w:asciiTheme="majorHAnsi" w:hAnsiTheme="majorHAnsi" w:cstheme="majorHAnsi"/>
          <w:sz w:val="22"/>
          <w:szCs w:val="22"/>
        </w:rPr>
        <w:t xml:space="preserve">civil society </w:t>
      </w:r>
      <w:proofErr w:type="spellStart"/>
      <w:r w:rsidR="009A59FC" w:rsidRPr="00654694">
        <w:rPr>
          <w:rFonts w:asciiTheme="majorHAnsi" w:hAnsiTheme="majorHAnsi" w:cstheme="majorHAnsi"/>
          <w:sz w:val="22"/>
          <w:szCs w:val="22"/>
        </w:rPr>
        <w:t>organisations</w:t>
      </w:r>
      <w:proofErr w:type="spellEnd"/>
      <w:r w:rsidR="009A59FC" w:rsidRPr="00654694">
        <w:rPr>
          <w:rFonts w:asciiTheme="majorHAnsi" w:hAnsiTheme="majorHAnsi" w:cstheme="majorHAnsi"/>
          <w:sz w:val="22"/>
          <w:szCs w:val="22"/>
        </w:rPr>
        <w:t xml:space="preserve"> </w:t>
      </w:r>
      <w:r w:rsidRPr="00654694">
        <w:rPr>
          <w:rFonts w:asciiTheme="majorHAnsi" w:hAnsiTheme="majorHAnsi" w:cstheme="majorHAnsi"/>
          <w:sz w:val="22"/>
          <w:szCs w:val="22"/>
        </w:rPr>
        <w:t>(CSOs) engaged with</w:t>
      </w:r>
      <w:r w:rsidR="009A59FC" w:rsidRPr="00654694">
        <w:rPr>
          <w:rFonts w:asciiTheme="majorHAnsi" w:hAnsiTheme="majorHAnsi" w:cstheme="majorHAnsi"/>
          <w:sz w:val="22"/>
          <w:szCs w:val="22"/>
        </w:rPr>
        <w:t xml:space="preserve"> forest law enforcement, governance, and</w:t>
      </w:r>
      <w:r w:rsidRPr="00654694">
        <w:rPr>
          <w:rFonts w:asciiTheme="majorHAnsi" w:hAnsiTheme="majorHAnsi" w:cstheme="majorHAnsi"/>
          <w:sz w:val="22"/>
          <w:szCs w:val="22"/>
        </w:rPr>
        <w:t>/ or</w:t>
      </w:r>
      <w:r w:rsidR="009A59FC" w:rsidRPr="00654694">
        <w:rPr>
          <w:rFonts w:asciiTheme="majorHAnsi" w:hAnsiTheme="majorHAnsi" w:cstheme="majorHAnsi"/>
          <w:sz w:val="22"/>
          <w:szCs w:val="22"/>
        </w:rPr>
        <w:t xml:space="preserve"> trade in the project countries. </w:t>
      </w:r>
      <w:r w:rsidR="008F4817" w:rsidRPr="00654694">
        <w:rPr>
          <w:rFonts w:asciiTheme="majorHAnsi" w:hAnsiTheme="majorHAnsi" w:cstheme="majorHAnsi"/>
          <w:sz w:val="22"/>
          <w:szCs w:val="22"/>
        </w:rPr>
        <w:t>Project a</w:t>
      </w:r>
      <w:r w:rsidRPr="00654694">
        <w:rPr>
          <w:rFonts w:asciiTheme="majorHAnsi" w:hAnsiTheme="majorHAnsi" w:cstheme="majorHAnsi"/>
          <w:sz w:val="22"/>
          <w:szCs w:val="22"/>
        </w:rPr>
        <w:t>ctivities included:</w:t>
      </w:r>
    </w:p>
    <w:p w14:paraId="415C597C" w14:textId="77777777" w:rsidR="009A59FC" w:rsidRPr="00654694" w:rsidRDefault="009A59FC" w:rsidP="00E104D4">
      <w:pPr>
        <w:pStyle w:val="NoSpacing"/>
        <w:ind w:left="-567" w:right="-347"/>
        <w:rPr>
          <w:rFonts w:asciiTheme="majorHAnsi" w:hAnsiTheme="majorHAnsi" w:cstheme="majorHAnsi"/>
          <w:sz w:val="22"/>
          <w:szCs w:val="22"/>
        </w:rPr>
      </w:pPr>
    </w:p>
    <w:p w14:paraId="26FCF601" w14:textId="77777777" w:rsidR="00654694" w:rsidRDefault="00595A84" w:rsidP="00654694">
      <w:pPr>
        <w:pStyle w:val="NoSpacing"/>
        <w:numPr>
          <w:ilvl w:val="0"/>
          <w:numId w:val="1"/>
        </w:numPr>
        <w:ind w:left="0" w:right="-347" w:hanging="567"/>
        <w:rPr>
          <w:rFonts w:asciiTheme="majorHAnsi" w:hAnsiTheme="majorHAnsi" w:cstheme="majorHAnsi"/>
          <w:sz w:val="22"/>
          <w:szCs w:val="22"/>
        </w:rPr>
      </w:pPr>
      <w:r w:rsidRPr="00654694">
        <w:rPr>
          <w:rFonts w:asciiTheme="majorHAnsi" w:hAnsiTheme="majorHAnsi" w:cstheme="majorHAnsi"/>
          <w:sz w:val="22"/>
          <w:szCs w:val="22"/>
        </w:rPr>
        <w:t xml:space="preserve">Training </w:t>
      </w:r>
      <w:r w:rsidR="009A59FC" w:rsidRPr="00654694">
        <w:rPr>
          <w:rFonts w:asciiTheme="majorHAnsi" w:hAnsiTheme="majorHAnsi" w:cstheme="majorHAnsi"/>
          <w:sz w:val="22"/>
          <w:szCs w:val="22"/>
        </w:rPr>
        <w:t xml:space="preserve">CSOs and </w:t>
      </w:r>
      <w:r w:rsidRPr="00654694">
        <w:rPr>
          <w:rFonts w:asciiTheme="majorHAnsi" w:hAnsiTheme="majorHAnsi" w:cstheme="majorHAnsi"/>
          <w:sz w:val="22"/>
          <w:szCs w:val="22"/>
        </w:rPr>
        <w:t xml:space="preserve">the </w:t>
      </w:r>
      <w:r w:rsidR="009A59FC" w:rsidRPr="00654694">
        <w:rPr>
          <w:rFonts w:asciiTheme="majorHAnsi" w:hAnsiTheme="majorHAnsi" w:cstheme="majorHAnsi"/>
          <w:sz w:val="22"/>
          <w:szCs w:val="22"/>
        </w:rPr>
        <w:t>media on anti-corruption for REDD</w:t>
      </w:r>
      <w:r w:rsidRPr="00654694">
        <w:rPr>
          <w:rFonts w:asciiTheme="majorHAnsi" w:hAnsiTheme="majorHAnsi" w:cstheme="majorHAnsi"/>
          <w:sz w:val="22"/>
          <w:szCs w:val="22"/>
        </w:rPr>
        <w:t>+</w:t>
      </w:r>
      <w:r w:rsidR="009A59FC" w:rsidRPr="00654694">
        <w:rPr>
          <w:rFonts w:asciiTheme="majorHAnsi" w:hAnsiTheme="majorHAnsi" w:cstheme="majorHAnsi"/>
          <w:sz w:val="22"/>
          <w:szCs w:val="22"/>
        </w:rPr>
        <w:t xml:space="preserve">, along with targeted actions regarding the private sector to push for </w:t>
      </w:r>
      <w:r w:rsidR="0092367B" w:rsidRPr="00654694">
        <w:rPr>
          <w:rFonts w:asciiTheme="majorHAnsi" w:hAnsiTheme="majorHAnsi" w:cstheme="majorHAnsi"/>
          <w:sz w:val="22"/>
          <w:szCs w:val="22"/>
        </w:rPr>
        <w:t>transparency and accountability.</w:t>
      </w:r>
    </w:p>
    <w:p w14:paraId="7B4ACBD7" w14:textId="44BB260E" w:rsidR="009A59FC" w:rsidRPr="00654694" w:rsidRDefault="009A59FC" w:rsidP="00654694">
      <w:pPr>
        <w:pStyle w:val="NoSpacing"/>
        <w:numPr>
          <w:ilvl w:val="0"/>
          <w:numId w:val="1"/>
        </w:numPr>
        <w:ind w:left="0" w:right="-347" w:hanging="567"/>
        <w:rPr>
          <w:rFonts w:asciiTheme="majorHAnsi" w:hAnsiTheme="majorHAnsi" w:cstheme="majorHAnsi"/>
          <w:sz w:val="22"/>
          <w:szCs w:val="22"/>
        </w:rPr>
      </w:pPr>
      <w:r w:rsidRPr="00654694">
        <w:rPr>
          <w:rFonts w:asciiTheme="majorHAnsi" w:hAnsiTheme="majorHAnsi" w:cstheme="majorHAnsi"/>
          <w:sz w:val="22"/>
          <w:szCs w:val="22"/>
        </w:rPr>
        <w:t>Development of a methodology to assess corruption ris</w:t>
      </w:r>
      <w:r w:rsidR="0092367B" w:rsidRPr="00654694">
        <w:rPr>
          <w:rFonts w:asciiTheme="majorHAnsi" w:hAnsiTheme="majorHAnsi" w:cstheme="majorHAnsi"/>
          <w:sz w:val="22"/>
          <w:szCs w:val="22"/>
        </w:rPr>
        <w:t>ks in REDD+ through stakeholder</w:t>
      </w:r>
      <w:r w:rsidRPr="00654694">
        <w:rPr>
          <w:rFonts w:asciiTheme="majorHAnsi" w:hAnsiTheme="majorHAnsi" w:cstheme="majorHAnsi"/>
          <w:sz w:val="22"/>
          <w:szCs w:val="22"/>
        </w:rPr>
        <w:t xml:space="preserve"> consultation and </w:t>
      </w:r>
      <w:r w:rsidR="0092367B" w:rsidRPr="00654694">
        <w:rPr>
          <w:rFonts w:asciiTheme="majorHAnsi" w:hAnsiTheme="majorHAnsi" w:cstheme="majorHAnsi"/>
          <w:sz w:val="22"/>
          <w:szCs w:val="22"/>
        </w:rPr>
        <w:t xml:space="preserve">the publication of the </w:t>
      </w:r>
      <w:r w:rsidR="00595A84" w:rsidRPr="00654694">
        <w:rPr>
          <w:rFonts w:asciiTheme="majorHAnsi" w:hAnsiTheme="majorHAnsi" w:cstheme="majorHAnsi"/>
          <w:sz w:val="22"/>
          <w:szCs w:val="22"/>
        </w:rPr>
        <w:t xml:space="preserve">risk assessment manual, </w:t>
      </w:r>
      <w:r w:rsidR="0092367B" w:rsidRPr="00654694">
        <w:rPr>
          <w:rFonts w:asciiTheme="majorHAnsi" w:hAnsiTheme="majorHAnsi" w:cstheme="majorHAnsi"/>
          <w:i/>
          <w:sz w:val="22"/>
          <w:szCs w:val="22"/>
        </w:rPr>
        <w:t>Keeping REDD+ Clean</w:t>
      </w:r>
      <w:r w:rsidR="00AF7E79" w:rsidRPr="00654694">
        <w:rPr>
          <w:rFonts w:asciiTheme="majorHAnsi" w:hAnsiTheme="majorHAnsi" w:cstheme="majorHAnsi"/>
          <w:i/>
          <w:sz w:val="22"/>
          <w:szCs w:val="22"/>
        </w:rPr>
        <w:t>.</w:t>
      </w:r>
    </w:p>
    <w:p w14:paraId="1B8F8CD2" w14:textId="4E73C8C1" w:rsidR="00363CDD" w:rsidRPr="00654694" w:rsidRDefault="009A59FC" w:rsidP="00654694">
      <w:pPr>
        <w:pStyle w:val="NoSpacing"/>
        <w:numPr>
          <w:ilvl w:val="0"/>
          <w:numId w:val="1"/>
        </w:numPr>
        <w:ind w:left="0" w:right="-347" w:hanging="567"/>
        <w:rPr>
          <w:rFonts w:asciiTheme="majorHAnsi" w:hAnsiTheme="majorHAnsi" w:cstheme="majorHAnsi"/>
          <w:sz w:val="22"/>
          <w:szCs w:val="22"/>
        </w:rPr>
      </w:pPr>
      <w:r w:rsidRPr="00654694">
        <w:rPr>
          <w:rFonts w:asciiTheme="majorHAnsi" w:hAnsiTheme="majorHAnsi" w:cstheme="majorHAnsi"/>
          <w:sz w:val="22"/>
          <w:szCs w:val="22"/>
        </w:rPr>
        <w:t xml:space="preserve">Advocacy interventions at </w:t>
      </w:r>
      <w:r w:rsidR="00595A84" w:rsidRPr="00654694">
        <w:rPr>
          <w:rFonts w:asciiTheme="majorHAnsi" w:hAnsiTheme="majorHAnsi" w:cstheme="majorHAnsi"/>
          <w:sz w:val="22"/>
          <w:szCs w:val="22"/>
        </w:rPr>
        <w:t>all</w:t>
      </w:r>
      <w:r w:rsidRPr="00654694">
        <w:rPr>
          <w:rFonts w:asciiTheme="majorHAnsi" w:hAnsiTheme="majorHAnsi" w:cstheme="majorHAnsi"/>
          <w:sz w:val="22"/>
          <w:szCs w:val="22"/>
        </w:rPr>
        <w:t xml:space="preserve"> level</w:t>
      </w:r>
      <w:r w:rsidR="0092367B" w:rsidRPr="00654694">
        <w:rPr>
          <w:rFonts w:asciiTheme="majorHAnsi" w:hAnsiTheme="majorHAnsi" w:cstheme="majorHAnsi"/>
          <w:sz w:val="22"/>
          <w:szCs w:val="22"/>
        </w:rPr>
        <w:t>s</w:t>
      </w:r>
      <w:r w:rsidRPr="00654694">
        <w:rPr>
          <w:rFonts w:asciiTheme="majorHAnsi" w:hAnsiTheme="majorHAnsi" w:cstheme="majorHAnsi"/>
          <w:sz w:val="22"/>
          <w:szCs w:val="22"/>
        </w:rPr>
        <w:t>, including a REDD</w:t>
      </w:r>
      <w:r w:rsidR="0092367B" w:rsidRPr="00654694">
        <w:rPr>
          <w:rFonts w:asciiTheme="majorHAnsi" w:hAnsiTheme="majorHAnsi" w:cstheme="majorHAnsi"/>
          <w:sz w:val="22"/>
          <w:szCs w:val="22"/>
        </w:rPr>
        <w:t>+</w:t>
      </w:r>
      <w:r w:rsidRPr="00654694">
        <w:rPr>
          <w:rFonts w:asciiTheme="majorHAnsi" w:hAnsiTheme="majorHAnsi" w:cstheme="majorHAnsi"/>
          <w:sz w:val="22"/>
          <w:szCs w:val="22"/>
        </w:rPr>
        <w:t xml:space="preserve"> integrity campaign </w:t>
      </w:r>
      <w:r w:rsidR="00595A84" w:rsidRPr="00654694">
        <w:rPr>
          <w:rFonts w:asciiTheme="majorHAnsi" w:hAnsiTheme="majorHAnsi" w:cstheme="majorHAnsi"/>
          <w:sz w:val="22"/>
          <w:szCs w:val="22"/>
        </w:rPr>
        <w:t xml:space="preserve">and </w:t>
      </w:r>
      <w:r w:rsidRPr="00654694">
        <w:rPr>
          <w:rFonts w:asciiTheme="majorHAnsi" w:hAnsiTheme="majorHAnsi" w:cstheme="majorHAnsi"/>
          <w:sz w:val="22"/>
          <w:szCs w:val="22"/>
        </w:rPr>
        <w:t xml:space="preserve">local, national, and regional conferences to discuss </w:t>
      </w:r>
      <w:r w:rsidR="00AF7E79" w:rsidRPr="00654694">
        <w:rPr>
          <w:rFonts w:asciiTheme="majorHAnsi" w:hAnsiTheme="majorHAnsi" w:cstheme="majorHAnsi"/>
          <w:sz w:val="22"/>
          <w:szCs w:val="22"/>
        </w:rPr>
        <w:t xml:space="preserve">relevant </w:t>
      </w:r>
      <w:r w:rsidR="00595A84" w:rsidRPr="00654694">
        <w:rPr>
          <w:rFonts w:asciiTheme="majorHAnsi" w:hAnsiTheme="majorHAnsi" w:cstheme="majorHAnsi"/>
          <w:sz w:val="22"/>
          <w:szCs w:val="22"/>
        </w:rPr>
        <w:t xml:space="preserve">anti-corruption </w:t>
      </w:r>
      <w:r w:rsidRPr="00654694">
        <w:rPr>
          <w:rFonts w:asciiTheme="majorHAnsi" w:hAnsiTheme="majorHAnsi" w:cstheme="majorHAnsi"/>
          <w:sz w:val="22"/>
          <w:szCs w:val="22"/>
        </w:rPr>
        <w:t>tools an</w:t>
      </w:r>
      <w:r w:rsidR="00AF7E79" w:rsidRPr="00654694">
        <w:rPr>
          <w:rFonts w:asciiTheme="majorHAnsi" w:hAnsiTheme="majorHAnsi" w:cstheme="majorHAnsi"/>
          <w:sz w:val="22"/>
          <w:szCs w:val="22"/>
        </w:rPr>
        <w:t>d best practices.</w:t>
      </w:r>
    </w:p>
    <w:p w14:paraId="0D9A4EB6" w14:textId="73CA4E64" w:rsidR="00D12BD8" w:rsidRDefault="00D12BD8">
      <w:pPr>
        <w:rPr>
          <w:rFonts w:asciiTheme="majorHAnsi" w:hAnsiTheme="majorHAnsi" w:cstheme="majorHAnsi"/>
          <w:b/>
          <w:color w:val="0070C0"/>
          <w:sz w:val="22"/>
          <w:szCs w:val="22"/>
          <w:lang w:val="en-US"/>
        </w:rPr>
      </w:pPr>
    </w:p>
    <w:p w14:paraId="1B0D27FD" w14:textId="369F0547" w:rsidR="00384AED" w:rsidRPr="00654694" w:rsidRDefault="00384AED" w:rsidP="00384AED">
      <w:pPr>
        <w:pStyle w:val="NoSpacing"/>
        <w:pBdr>
          <w:bottom w:val="single" w:sz="12" w:space="1" w:color="0070C0"/>
        </w:pBdr>
        <w:ind w:left="-567" w:right="-347"/>
        <w:rPr>
          <w:rFonts w:asciiTheme="majorHAnsi" w:hAnsiTheme="majorHAnsi" w:cstheme="majorHAnsi"/>
          <w:b/>
          <w:color w:val="0070C0"/>
          <w:sz w:val="22"/>
          <w:szCs w:val="22"/>
        </w:rPr>
      </w:pPr>
      <w:r w:rsidRPr="00654694">
        <w:rPr>
          <w:rFonts w:asciiTheme="majorHAnsi" w:hAnsiTheme="majorHAnsi" w:cstheme="majorHAnsi"/>
          <w:b/>
          <w:color w:val="0070C0"/>
          <w:sz w:val="22"/>
          <w:szCs w:val="22"/>
        </w:rPr>
        <w:t>Project Justification:</w:t>
      </w:r>
    </w:p>
    <w:p w14:paraId="62C3D678" w14:textId="77777777" w:rsidR="00384AED" w:rsidRPr="00654694" w:rsidRDefault="00384AED" w:rsidP="00384AED">
      <w:pPr>
        <w:pStyle w:val="NoSpacing"/>
        <w:ind w:left="-567" w:right="-347"/>
        <w:rPr>
          <w:rFonts w:asciiTheme="majorHAnsi" w:hAnsiTheme="majorHAnsi" w:cstheme="majorHAnsi"/>
          <w:b/>
          <w:color w:val="7F7F7F" w:themeColor="text1" w:themeTint="80"/>
          <w:sz w:val="22"/>
          <w:szCs w:val="22"/>
        </w:rPr>
      </w:pPr>
    </w:p>
    <w:p w14:paraId="0708BA00" w14:textId="6D1A12C7" w:rsidR="009D4433" w:rsidRPr="00654694" w:rsidRDefault="009D4433" w:rsidP="00363CDD">
      <w:pPr>
        <w:pStyle w:val="NoSpacing"/>
        <w:ind w:left="-567" w:right="-347"/>
        <w:rPr>
          <w:rFonts w:asciiTheme="majorHAnsi" w:hAnsiTheme="majorHAnsi" w:cstheme="majorHAnsi"/>
          <w:sz w:val="22"/>
          <w:szCs w:val="22"/>
        </w:rPr>
      </w:pPr>
      <w:r w:rsidRPr="00654694">
        <w:rPr>
          <w:rFonts w:asciiTheme="majorHAnsi" w:hAnsiTheme="majorHAnsi" w:cstheme="majorHAnsi"/>
          <w:b/>
          <w:sz w:val="22"/>
          <w:szCs w:val="22"/>
        </w:rPr>
        <w:t>Addressing corruption risks proactively</w:t>
      </w:r>
      <w:r w:rsidR="003F6720" w:rsidRPr="00654694">
        <w:rPr>
          <w:rFonts w:asciiTheme="majorHAnsi" w:hAnsiTheme="majorHAnsi" w:cstheme="majorHAnsi"/>
          <w:b/>
          <w:sz w:val="22"/>
          <w:szCs w:val="22"/>
        </w:rPr>
        <w:t>, now</w:t>
      </w:r>
      <w:r w:rsidRPr="00654694">
        <w:rPr>
          <w:rFonts w:asciiTheme="majorHAnsi" w:hAnsiTheme="majorHAnsi" w:cstheme="majorHAnsi"/>
          <w:b/>
          <w:sz w:val="22"/>
          <w:szCs w:val="22"/>
        </w:rPr>
        <w:t xml:space="preserve"> </w:t>
      </w:r>
    </w:p>
    <w:p w14:paraId="74D455E2" w14:textId="77777777" w:rsidR="009D4433" w:rsidRPr="00654694" w:rsidRDefault="009D4433" w:rsidP="00E104D4">
      <w:pPr>
        <w:pStyle w:val="NoSpacing"/>
        <w:ind w:left="-567" w:right="-347"/>
        <w:rPr>
          <w:rFonts w:asciiTheme="majorHAnsi" w:hAnsiTheme="majorHAnsi" w:cstheme="majorHAnsi"/>
          <w:sz w:val="22"/>
          <w:szCs w:val="22"/>
        </w:rPr>
      </w:pPr>
    </w:p>
    <w:p w14:paraId="10EFAEAC" w14:textId="77777777" w:rsidR="001C34DF" w:rsidRPr="00654694" w:rsidRDefault="001C34DF"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Many of the world’s most densely forested countries have a poor track record for corruption. Politicians have been known to accept bribes – sometimes huge – to grant companies access to forest zones that should be protected. Meanwhile, some local communities have been forcefully removed from their homes in order to clear the way for forest exploitation.</w:t>
      </w:r>
    </w:p>
    <w:p w14:paraId="560CC1CB" w14:textId="77777777" w:rsidR="001C34DF" w:rsidRPr="00654694" w:rsidRDefault="001C34DF" w:rsidP="00E104D4">
      <w:pPr>
        <w:pStyle w:val="NoSpacing"/>
        <w:ind w:left="-567" w:right="-347"/>
        <w:rPr>
          <w:rFonts w:asciiTheme="majorHAnsi" w:hAnsiTheme="majorHAnsi" w:cstheme="majorHAnsi"/>
          <w:sz w:val="22"/>
          <w:szCs w:val="22"/>
        </w:rPr>
      </w:pPr>
    </w:p>
    <w:p w14:paraId="42736342" w14:textId="2013F728" w:rsidR="001C34DF" w:rsidRPr="00654694" w:rsidRDefault="001C34DF"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REDD+ will inherit many of the corruption risks that have long beset the forestry sector, but it also brings with it new ones. Carbon is intangible, and so difficult to quantify. This opens the door to mistakes or manipulation – both of data and of people. Given the remoteness of REDD+ sites there may be no easy way of knowing whether a project is authentic or bogus. And forest communities may be </w:t>
      </w:r>
      <w:proofErr w:type="spellStart"/>
      <w:r w:rsidRPr="00654694">
        <w:rPr>
          <w:rFonts w:asciiTheme="majorHAnsi" w:hAnsiTheme="majorHAnsi" w:cstheme="majorHAnsi"/>
          <w:sz w:val="22"/>
          <w:szCs w:val="22"/>
        </w:rPr>
        <w:t>marginalised</w:t>
      </w:r>
      <w:proofErr w:type="spellEnd"/>
      <w:r w:rsidRPr="00654694">
        <w:rPr>
          <w:rFonts w:asciiTheme="majorHAnsi" w:hAnsiTheme="majorHAnsi" w:cstheme="majorHAnsi"/>
          <w:sz w:val="22"/>
          <w:szCs w:val="22"/>
        </w:rPr>
        <w:t xml:space="preserve"> from decision-making and profits. </w:t>
      </w:r>
    </w:p>
    <w:p w14:paraId="5FB3C500" w14:textId="77777777" w:rsidR="009D4433" w:rsidRPr="00654694" w:rsidRDefault="009D4433" w:rsidP="00E104D4">
      <w:pPr>
        <w:pStyle w:val="NoSpacing"/>
        <w:ind w:left="-567" w:right="-347"/>
        <w:rPr>
          <w:rFonts w:asciiTheme="majorHAnsi" w:hAnsiTheme="majorHAnsi" w:cstheme="majorHAnsi"/>
          <w:sz w:val="22"/>
          <w:szCs w:val="22"/>
        </w:rPr>
      </w:pPr>
    </w:p>
    <w:p w14:paraId="378F518D" w14:textId="59CBB39C" w:rsidR="00AF7E79" w:rsidRPr="00654694" w:rsidRDefault="003F6720" w:rsidP="00AF7E79">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PAC REDD takes a </w:t>
      </w:r>
      <w:r w:rsidR="00384AED" w:rsidRPr="00654694">
        <w:rPr>
          <w:rFonts w:asciiTheme="majorHAnsi" w:hAnsiTheme="majorHAnsi" w:cstheme="majorHAnsi"/>
          <w:sz w:val="22"/>
          <w:szCs w:val="22"/>
        </w:rPr>
        <w:t xml:space="preserve">preventative </w:t>
      </w:r>
      <w:r w:rsidRPr="00654694">
        <w:rPr>
          <w:rFonts w:asciiTheme="majorHAnsi" w:hAnsiTheme="majorHAnsi" w:cstheme="majorHAnsi"/>
          <w:sz w:val="22"/>
          <w:szCs w:val="22"/>
        </w:rPr>
        <w:t>approach to corruption in REDD</w:t>
      </w:r>
      <w:r w:rsidR="008051E3" w:rsidRPr="00654694">
        <w:rPr>
          <w:rFonts w:asciiTheme="majorHAnsi" w:hAnsiTheme="majorHAnsi" w:cstheme="majorHAnsi"/>
          <w:sz w:val="22"/>
          <w:szCs w:val="22"/>
        </w:rPr>
        <w:t>+</w:t>
      </w:r>
      <w:r w:rsidRPr="00654694">
        <w:rPr>
          <w:rFonts w:asciiTheme="majorHAnsi" w:hAnsiTheme="majorHAnsi" w:cstheme="majorHAnsi"/>
          <w:sz w:val="22"/>
          <w:szCs w:val="22"/>
        </w:rPr>
        <w:t xml:space="preserve">. </w:t>
      </w:r>
      <w:r w:rsidR="008F4817" w:rsidRPr="00654694">
        <w:rPr>
          <w:rFonts w:asciiTheme="majorHAnsi" w:hAnsiTheme="majorHAnsi" w:cstheme="majorHAnsi"/>
          <w:sz w:val="22"/>
          <w:szCs w:val="22"/>
        </w:rPr>
        <w:t xml:space="preserve">TI </w:t>
      </w:r>
      <w:r w:rsidR="00A50C5A" w:rsidRPr="00654694">
        <w:rPr>
          <w:rFonts w:asciiTheme="majorHAnsi" w:hAnsiTheme="majorHAnsi" w:cstheme="majorHAnsi"/>
          <w:sz w:val="22"/>
          <w:szCs w:val="22"/>
        </w:rPr>
        <w:t>national chapters in Indonesia, Papua New Guine</w:t>
      </w:r>
      <w:r w:rsidR="008051E3" w:rsidRPr="00654694">
        <w:rPr>
          <w:rFonts w:asciiTheme="majorHAnsi" w:hAnsiTheme="majorHAnsi" w:cstheme="majorHAnsi"/>
          <w:sz w:val="22"/>
          <w:szCs w:val="22"/>
        </w:rPr>
        <w:t>a</w:t>
      </w:r>
      <w:r w:rsidR="00A50C5A" w:rsidRPr="00654694">
        <w:rPr>
          <w:rFonts w:asciiTheme="majorHAnsi" w:hAnsiTheme="majorHAnsi" w:cstheme="majorHAnsi"/>
          <w:sz w:val="22"/>
          <w:szCs w:val="22"/>
        </w:rPr>
        <w:t xml:space="preserve"> and Vietnam </w:t>
      </w:r>
      <w:r w:rsidR="00AF7E79" w:rsidRPr="00654694">
        <w:rPr>
          <w:rFonts w:asciiTheme="majorHAnsi" w:hAnsiTheme="majorHAnsi" w:cstheme="majorHAnsi"/>
          <w:sz w:val="22"/>
          <w:szCs w:val="22"/>
        </w:rPr>
        <w:t xml:space="preserve">have been </w:t>
      </w:r>
      <w:proofErr w:type="spellStart"/>
      <w:r w:rsidRPr="00654694">
        <w:rPr>
          <w:rFonts w:asciiTheme="majorHAnsi" w:hAnsiTheme="majorHAnsi" w:cstheme="majorHAnsi"/>
          <w:sz w:val="22"/>
          <w:szCs w:val="22"/>
        </w:rPr>
        <w:t>analysing</w:t>
      </w:r>
      <w:proofErr w:type="spellEnd"/>
      <w:r w:rsidR="00AF7E79" w:rsidRPr="00654694">
        <w:rPr>
          <w:rFonts w:asciiTheme="majorHAnsi" w:hAnsiTheme="majorHAnsi" w:cstheme="majorHAnsi"/>
          <w:sz w:val="22"/>
          <w:szCs w:val="22"/>
        </w:rPr>
        <w:t xml:space="preserve"> risks</w:t>
      </w:r>
      <w:r w:rsidRPr="00654694">
        <w:rPr>
          <w:rFonts w:asciiTheme="majorHAnsi" w:hAnsiTheme="majorHAnsi" w:cstheme="majorHAnsi"/>
          <w:sz w:val="22"/>
          <w:szCs w:val="22"/>
        </w:rPr>
        <w:t>, and devising tailor-made str</w:t>
      </w:r>
      <w:r w:rsidR="00AF7E79" w:rsidRPr="00654694">
        <w:rPr>
          <w:rFonts w:asciiTheme="majorHAnsi" w:hAnsiTheme="majorHAnsi" w:cstheme="majorHAnsi"/>
          <w:sz w:val="22"/>
          <w:szCs w:val="22"/>
        </w:rPr>
        <w:t>ategies to mitigate them before corruption sets in</w:t>
      </w:r>
      <w:r w:rsidRPr="00654694">
        <w:rPr>
          <w:rFonts w:asciiTheme="majorHAnsi" w:hAnsiTheme="majorHAnsi" w:cstheme="majorHAnsi"/>
          <w:sz w:val="22"/>
          <w:szCs w:val="22"/>
        </w:rPr>
        <w:t xml:space="preserve">. </w:t>
      </w:r>
      <w:r w:rsidR="00AF7E79" w:rsidRPr="00654694">
        <w:rPr>
          <w:rFonts w:asciiTheme="majorHAnsi" w:hAnsiTheme="majorHAnsi" w:cstheme="majorHAnsi"/>
          <w:sz w:val="22"/>
          <w:szCs w:val="22"/>
        </w:rPr>
        <w:t>P</w:t>
      </w:r>
      <w:r w:rsidR="00A50C5A" w:rsidRPr="00654694">
        <w:rPr>
          <w:rFonts w:asciiTheme="majorHAnsi" w:hAnsiTheme="majorHAnsi" w:cstheme="majorHAnsi"/>
          <w:sz w:val="22"/>
          <w:szCs w:val="22"/>
        </w:rPr>
        <w:t xml:space="preserve">rogramme </w:t>
      </w:r>
      <w:proofErr w:type="gramStart"/>
      <w:r w:rsidR="00A50C5A" w:rsidRPr="00654694">
        <w:rPr>
          <w:rFonts w:asciiTheme="majorHAnsi" w:hAnsiTheme="majorHAnsi" w:cstheme="majorHAnsi"/>
          <w:sz w:val="22"/>
          <w:szCs w:val="22"/>
        </w:rPr>
        <w:t>staff are</w:t>
      </w:r>
      <w:proofErr w:type="gramEnd"/>
      <w:r w:rsidR="00AF7E79" w:rsidRPr="00654694">
        <w:rPr>
          <w:rFonts w:asciiTheme="majorHAnsi" w:hAnsiTheme="majorHAnsi" w:cstheme="majorHAnsi"/>
          <w:sz w:val="22"/>
          <w:szCs w:val="22"/>
        </w:rPr>
        <w:t xml:space="preserve"> working with governments, CSOs</w:t>
      </w:r>
      <w:r w:rsidR="00A50C5A" w:rsidRPr="00654694">
        <w:rPr>
          <w:rFonts w:asciiTheme="majorHAnsi" w:hAnsiTheme="majorHAnsi" w:cstheme="majorHAnsi"/>
          <w:sz w:val="22"/>
          <w:szCs w:val="22"/>
        </w:rPr>
        <w:t xml:space="preserve">, communities and companies to </w:t>
      </w:r>
      <w:r w:rsidR="000E1D39" w:rsidRPr="00654694">
        <w:rPr>
          <w:rFonts w:asciiTheme="majorHAnsi" w:hAnsiTheme="majorHAnsi" w:cstheme="majorHAnsi"/>
          <w:sz w:val="22"/>
          <w:szCs w:val="22"/>
        </w:rPr>
        <w:t>design a</w:t>
      </w:r>
      <w:r w:rsidR="008051E3" w:rsidRPr="00654694">
        <w:rPr>
          <w:rFonts w:asciiTheme="majorHAnsi" w:hAnsiTheme="majorHAnsi" w:cstheme="majorHAnsi"/>
          <w:sz w:val="22"/>
          <w:szCs w:val="22"/>
        </w:rPr>
        <w:t xml:space="preserve">nd implant safeguards that – through enhanced transparency, accountability and citizen engagement – narrow entry points for corruption in REDD+, hereby reducing the </w:t>
      </w:r>
      <w:r w:rsidR="00CE0E7D" w:rsidRPr="00654694">
        <w:rPr>
          <w:rFonts w:asciiTheme="majorHAnsi" w:hAnsiTheme="majorHAnsi" w:cstheme="majorHAnsi"/>
          <w:sz w:val="22"/>
          <w:szCs w:val="22"/>
        </w:rPr>
        <w:t xml:space="preserve">financial, environmental and social </w:t>
      </w:r>
      <w:r w:rsidR="008051E3" w:rsidRPr="00654694">
        <w:rPr>
          <w:rFonts w:asciiTheme="majorHAnsi" w:hAnsiTheme="majorHAnsi" w:cstheme="majorHAnsi"/>
          <w:sz w:val="22"/>
          <w:szCs w:val="22"/>
        </w:rPr>
        <w:t xml:space="preserve">losses that it threatens. </w:t>
      </w:r>
    </w:p>
    <w:p w14:paraId="5D39B3C9" w14:textId="77777777" w:rsidR="00AF7E79" w:rsidRPr="00654694" w:rsidRDefault="00AF7E79" w:rsidP="00AF7E79">
      <w:pPr>
        <w:pStyle w:val="NoSpacing"/>
        <w:ind w:left="-567" w:right="-347"/>
        <w:rPr>
          <w:rFonts w:asciiTheme="majorHAnsi" w:hAnsiTheme="majorHAnsi" w:cstheme="majorHAnsi"/>
          <w:sz w:val="22"/>
          <w:szCs w:val="22"/>
        </w:rPr>
      </w:pPr>
    </w:p>
    <w:p w14:paraId="0F3A9CB8" w14:textId="10385C4D" w:rsidR="00B539FC" w:rsidRPr="00654694" w:rsidRDefault="006F3C42" w:rsidP="00AF7E79">
      <w:pPr>
        <w:pStyle w:val="NoSpacing"/>
        <w:ind w:left="-567" w:right="-347"/>
        <w:rPr>
          <w:rFonts w:asciiTheme="majorHAnsi" w:hAnsiTheme="majorHAnsi" w:cstheme="majorHAnsi"/>
          <w:sz w:val="22"/>
          <w:szCs w:val="22"/>
        </w:rPr>
      </w:pPr>
      <w:r w:rsidRPr="00654694">
        <w:rPr>
          <w:rFonts w:asciiTheme="majorHAnsi" w:hAnsiTheme="majorHAnsi" w:cstheme="majorHAnsi"/>
          <w:i/>
          <w:sz w:val="22"/>
          <w:szCs w:val="22"/>
        </w:rPr>
        <w:t xml:space="preserve">Dedi Haryadi is </w:t>
      </w:r>
      <w:r w:rsidR="00005929" w:rsidRPr="00654694">
        <w:rPr>
          <w:rFonts w:asciiTheme="majorHAnsi" w:hAnsiTheme="majorHAnsi" w:cstheme="majorHAnsi"/>
          <w:i/>
          <w:sz w:val="22"/>
          <w:szCs w:val="22"/>
        </w:rPr>
        <w:t>PAC REDD</w:t>
      </w:r>
      <w:r w:rsidRPr="00654694">
        <w:rPr>
          <w:rFonts w:asciiTheme="majorHAnsi" w:hAnsiTheme="majorHAnsi" w:cstheme="majorHAnsi"/>
          <w:i/>
          <w:sz w:val="22"/>
          <w:szCs w:val="22"/>
        </w:rPr>
        <w:t xml:space="preserve"> Team Leader at </w:t>
      </w:r>
      <w:r w:rsidR="0092367B" w:rsidRPr="00654694">
        <w:rPr>
          <w:rFonts w:asciiTheme="majorHAnsi" w:hAnsiTheme="majorHAnsi" w:cstheme="majorHAnsi"/>
          <w:i/>
          <w:sz w:val="22"/>
          <w:szCs w:val="22"/>
        </w:rPr>
        <w:t>TI Indonesia.</w:t>
      </w:r>
    </w:p>
    <w:p w14:paraId="4AE4B7B9" w14:textId="77777777" w:rsidR="006F3C42" w:rsidRPr="00654694" w:rsidRDefault="006F3C42" w:rsidP="00E104D4">
      <w:pPr>
        <w:pStyle w:val="NoSpacing"/>
        <w:ind w:left="-567" w:right="-347"/>
        <w:rPr>
          <w:rFonts w:asciiTheme="majorHAnsi" w:hAnsiTheme="majorHAnsi" w:cstheme="majorHAnsi"/>
          <w:sz w:val="22"/>
          <w:szCs w:val="22"/>
        </w:rPr>
      </w:pPr>
    </w:p>
    <w:p w14:paraId="0701854E" w14:textId="413EF679" w:rsidR="0088291C" w:rsidRPr="00654694" w:rsidRDefault="00D12BD8" w:rsidP="0088291C">
      <w:pPr>
        <w:pStyle w:val="NoSpacing"/>
        <w:ind w:left="-567" w:right="-347"/>
        <w:rPr>
          <w:rFonts w:asciiTheme="majorHAnsi" w:hAnsiTheme="majorHAnsi" w:cstheme="majorHAnsi"/>
          <w:sz w:val="22"/>
          <w:szCs w:val="22"/>
        </w:rPr>
      </w:pPr>
      <w:r w:rsidRPr="00654694">
        <w:rPr>
          <w:rFonts w:asciiTheme="majorHAnsi" w:hAnsiTheme="majorHAnsi" w:cstheme="majorHAnsi"/>
          <w:noProof/>
          <w:color w:val="4B4B4B"/>
          <w:sz w:val="22"/>
          <w:szCs w:val="22"/>
          <w:lang w:val="en-GB" w:eastAsia="en-GB"/>
        </w:rPr>
        <mc:AlternateContent>
          <mc:Choice Requires="wps">
            <w:drawing>
              <wp:anchor distT="0" distB="0" distL="114300" distR="114300" simplePos="0" relativeHeight="251659264" behindDoc="0" locked="0" layoutInCell="1" allowOverlap="1" wp14:anchorId="2528B91E" wp14:editId="2CEFF956">
                <wp:simplePos x="0" y="0"/>
                <wp:positionH relativeFrom="column">
                  <wp:posOffset>779145</wp:posOffset>
                </wp:positionH>
                <wp:positionV relativeFrom="paragraph">
                  <wp:posOffset>16510</wp:posOffset>
                </wp:positionV>
                <wp:extent cx="4457700" cy="130556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1305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DF11A" w14:textId="6039CAED" w:rsidR="00C37EAE" w:rsidRPr="008B0308" w:rsidRDefault="00C37EAE">
                            <w:pPr>
                              <w:rPr>
                                <w:i/>
                              </w:rPr>
                            </w:pPr>
                            <w:r w:rsidRPr="008B0308">
                              <w:rPr>
                                <w:rFonts w:ascii="Arial" w:hAnsi="Arial" w:cs="Arial"/>
                                <w:i/>
                                <w:sz w:val="20"/>
                                <w:lang w:val="en-US"/>
                              </w:rPr>
                              <w:t>“Indon</w:t>
                            </w:r>
                            <w:r w:rsidR="00384AED">
                              <w:rPr>
                                <w:rFonts w:ascii="Arial" w:hAnsi="Arial" w:cs="Arial"/>
                                <w:i/>
                                <w:sz w:val="20"/>
                                <w:lang w:val="en-US"/>
                              </w:rPr>
                              <w:t>esia’s forests are often used as a resource to fuel party politics</w:t>
                            </w:r>
                            <w:r w:rsidRPr="008B0308">
                              <w:rPr>
                                <w:rFonts w:ascii="Arial" w:hAnsi="Arial" w:cs="Arial"/>
                                <w:i/>
                                <w:sz w:val="20"/>
                                <w:lang w:val="en-US"/>
                              </w:rPr>
                              <w:t xml:space="preserve">. In the mid-1990s the </w:t>
                            </w:r>
                            <w:hyperlink r:id="rId12" w:history="1">
                              <w:r w:rsidRPr="008B0308">
                                <w:rPr>
                                  <w:rStyle w:val="Hyperlink"/>
                                  <w:rFonts w:ascii="Arial" w:hAnsi="Arial" w:cs="Arial"/>
                                  <w:i/>
                                  <w:sz w:val="20"/>
                                  <w:lang w:val="en-US"/>
                                </w:rPr>
                                <w:t>Ministry of Forestry reportedly took US$600 million</w:t>
                              </w:r>
                            </w:hyperlink>
                            <w:r w:rsidRPr="008B0308">
                              <w:rPr>
                                <w:rFonts w:ascii="Arial" w:hAnsi="Arial" w:cs="Arial"/>
                                <w:i/>
                                <w:sz w:val="20"/>
                                <w:lang w:val="en-US"/>
                              </w:rPr>
                              <w:t xml:space="preserve"> from the country’s Reforestation Fund and invested it in projects that were more politically </w:t>
                            </w:r>
                            <w:proofErr w:type="spellStart"/>
                            <w:r w:rsidRPr="008B0308">
                              <w:rPr>
                                <w:rFonts w:ascii="Arial" w:hAnsi="Arial" w:cs="Arial"/>
                                <w:i/>
                                <w:sz w:val="20"/>
                                <w:lang w:val="en-US"/>
                              </w:rPr>
                              <w:t>favourable</w:t>
                            </w:r>
                            <w:proofErr w:type="spellEnd"/>
                            <w:r>
                              <w:rPr>
                                <w:rFonts w:ascii="Arial" w:hAnsi="Arial" w:cs="Arial"/>
                                <w:i/>
                                <w:sz w:val="20"/>
                                <w:lang w:val="en-US"/>
                              </w:rPr>
                              <w:t xml:space="preserve">. </w:t>
                            </w:r>
                            <w:r w:rsidRPr="008B0308">
                              <w:rPr>
                                <w:rFonts w:ascii="Arial" w:hAnsi="Arial" w:cs="Arial"/>
                                <w:i/>
                                <w:sz w:val="20"/>
                                <w:lang w:val="en-US"/>
                              </w:rPr>
                              <w:t xml:space="preserve">Forest land and proceeds are </w:t>
                            </w:r>
                            <w:r>
                              <w:rPr>
                                <w:rFonts w:ascii="Arial" w:hAnsi="Arial" w:cs="Arial"/>
                                <w:i/>
                                <w:sz w:val="20"/>
                                <w:lang w:val="en-US"/>
                              </w:rPr>
                              <w:t xml:space="preserve">also </w:t>
                            </w:r>
                            <w:r w:rsidRPr="008B0308">
                              <w:rPr>
                                <w:rFonts w:ascii="Arial" w:hAnsi="Arial" w:cs="Arial"/>
                                <w:i/>
                                <w:sz w:val="20"/>
                                <w:lang w:val="en-US"/>
                              </w:rPr>
                              <w:t>an important source of party political financing, and can be used to buy votes and secure support.</w:t>
                            </w:r>
                            <w:r>
                              <w:rPr>
                                <w:rFonts w:ascii="Arial" w:hAnsi="Arial" w:cs="Arial"/>
                                <w:i/>
                                <w:sz w:val="20"/>
                                <w:lang w:val="en-US"/>
                              </w:rPr>
                              <w:t xml:space="preserve"> </w:t>
                            </w:r>
                            <w:r w:rsidRPr="008051E3">
                              <w:rPr>
                                <w:rFonts w:ascii="Arial" w:hAnsi="Arial" w:cs="Arial"/>
                                <w:i/>
                                <w:sz w:val="20"/>
                                <w:lang w:val="en-US"/>
                              </w:rPr>
                              <w:t>The more informed people are about corruption risks, the more likely it is that we can keep these threats in check.</w:t>
                            </w:r>
                            <w:r>
                              <w:rPr>
                                <w:rFonts w:ascii="Arial" w:hAnsi="Arial" w:cs="Arial"/>
                                <w:i/>
                                <w:sz w:val="20"/>
                                <w:lang w:val="en-US"/>
                              </w:rPr>
                              <w:t xml:space="preserve"> We are working across all sections of society to build anti-corruption skills, policies and support.</w:t>
                            </w:r>
                            <w:r w:rsidRPr="008B0308">
                              <w:rPr>
                                <w:rFonts w:ascii="Arial" w:hAnsi="Arial" w:cs="Arial"/>
                                <w:i/>
                                <w:sz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35pt;margin-top:1.3pt;width:351pt;height:10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7trAIAAKQ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" filled="f" stroked="f">
                <v:textbox>
                  <w:txbxContent>
                    <w:p w14:paraId="391DF11A" w14:textId="6039CAED" w:rsidR="00C37EAE" w:rsidRPr="008B0308" w:rsidRDefault="00C37EAE">
                      <w:pPr>
                        <w:rPr>
                          <w:i/>
                        </w:rPr>
                      </w:pPr>
                      <w:r w:rsidRPr="008B0308">
                        <w:rPr>
                          <w:rFonts w:ascii="Arial" w:hAnsi="Arial" w:cs="Arial"/>
                          <w:i/>
                          <w:sz w:val="20"/>
                          <w:lang w:val="en-US"/>
                        </w:rPr>
                        <w:t>“Indon</w:t>
                      </w:r>
                      <w:r w:rsidR="00384AED">
                        <w:rPr>
                          <w:rFonts w:ascii="Arial" w:hAnsi="Arial" w:cs="Arial"/>
                          <w:i/>
                          <w:sz w:val="20"/>
                          <w:lang w:val="en-US"/>
                        </w:rPr>
                        <w:t>esia’s forests are often used as a resource to fuel party politics</w:t>
                      </w:r>
                      <w:r w:rsidRPr="008B0308">
                        <w:rPr>
                          <w:rFonts w:ascii="Arial" w:hAnsi="Arial" w:cs="Arial"/>
                          <w:i/>
                          <w:sz w:val="20"/>
                          <w:lang w:val="en-US"/>
                        </w:rPr>
                        <w:t xml:space="preserve">. In the mid-1990s the </w:t>
                      </w:r>
                      <w:hyperlink r:id="rId13" w:history="1">
                        <w:r w:rsidRPr="008B0308">
                          <w:rPr>
                            <w:rStyle w:val="Hyperlink"/>
                            <w:rFonts w:ascii="Arial" w:hAnsi="Arial" w:cs="Arial"/>
                            <w:i/>
                            <w:sz w:val="20"/>
                            <w:lang w:val="en-US"/>
                          </w:rPr>
                          <w:t>Ministry of Forestry reportedly took US$600 million</w:t>
                        </w:r>
                      </w:hyperlink>
                      <w:r w:rsidRPr="008B0308">
                        <w:rPr>
                          <w:rFonts w:ascii="Arial" w:hAnsi="Arial" w:cs="Arial"/>
                          <w:i/>
                          <w:sz w:val="20"/>
                          <w:lang w:val="en-US"/>
                        </w:rPr>
                        <w:t xml:space="preserve"> from the country’s Reforestation Fund and invested it in projects that were more politically </w:t>
                      </w:r>
                      <w:proofErr w:type="spellStart"/>
                      <w:r w:rsidRPr="008B0308">
                        <w:rPr>
                          <w:rFonts w:ascii="Arial" w:hAnsi="Arial" w:cs="Arial"/>
                          <w:i/>
                          <w:sz w:val="20"/>
                          <w:lang w:val="en-US"/>
                        </w:rPr>
                        <w:t>favourable</w:t>
                      </w:r>
                      <w:proofErr w:type="spellEnd"/>
                      <w:r>
                        <w:rPr>
                          <w:rFonts w:ascii="Arial" w:hAnsi="Arial" w:cs="Arial"/>
                          <w:i/>
                          <w:sz w:val="20"/>
                          <w:lang w:val="en-US"/>
                        </w:rPr>
                        <w:t xml:space="preserve">. </w:t>
                      </w:r>
                      <w:r w:rsidRPr="008B0308">
                        <w:rPr>
                          <w:rFonts w:ascii="Arial" w:hAnsi="Arial" w:cs="Arial"/>
                          <w:i/>
                          <w:sz w:val="20"/>
                          <w:lang w:val="en-US"/>
                        </w:rPr>
                        <w:t xml:space="preserve">Forest land and proceeds are </w:t>
                      </w:r>
                      <w:r>
                        <w:rPr>
                          <w:rFonts w:ascii="Arial" w:hAnsi="Arial" w:cs="Arial"/>
                          <w:i/>
                          <w:sz w:val="20"/>
                          <w:lang w:val="en-US"/>
                        </w:rPr>
                        <w:t xml:space="preserve">also </w:t>
                      </w:r>
                      <w:r w:rsidRPr="008B0308">
                        <w:rPr>
                          <w:rFonts w:ascii="Arial" w:hAnsi="Arial" w:cs="Arial"/>
                          <w:i/>
                          <w:sz w:val="20"/>
                          <w:lang w:val="en-US"/>
                        </w:rPr>
                        <w:t>an important source of party political financing, and can be used to buy votes and secure support.</w:t>
                      </w:r>
                      <w:r>
                        <w:rPr>
                          <w:rFonts w:ascii="Arial" w:hAnsi="Arial" w:cs="Arial"/>
                          <w:i/>
                          <w:sz w:val="20"/>
                          <w:lang w:val="en-US"/>
                        </w:rPr>
                        <w:t xml:space="preserve"> </w:t>
                      </w:r>
                      <w:r w:rsidRPr="008051E3">
                        <w:rPr>
                          <w:rFonts w:ascii="Arial" w:hAnsi="Arial" w:cs="Arial"/>
                          <w:i/>
                          <w:sz w:val="20"/>
                          <w:lang w:val="en-US"/>
                        </w:rPr>
                        <w:t>The more informed people are about corruption risks, the more likely it is that we can keep these threats in check.</w:t>
                      </w:r>
                      <w:r>
                        <w:rPr>
                          <w:rFonts w:ascii="Arial" w:hAnsi="Arial" w:cs="Arial"/>
                          <w:i/>
                          <w:sz w:val="20"/>
                          <w:lang w:val="en-US"/>
                        </w:rPr>
                        <w:t xml:space="preserve"> We are working across all sections of society to build anti-corruption skills, policies and support.</w:t>
                      </w:r>
                      <w:r w:rsidRPr="008B0308">
                        <w:rPr>
                          <w:rFonts w:ascii="Arial" w:hAnsi="Arial" w:cs="Arial"/>
                          <w:i/>
                          <w:sz w:val="20"/>
                          <w:lang w:val="en-US"/>
                        </w:rPr>
                        <w:t>”</w:t>
                      </w:r>
                    </w:p>
                  </w:txbxContent>
                </v:textbox>
                <w10:wrap type="square"/>
              </v:shape>
            </w:pict>
          </mc:Fallback>
        </mc:AlternateContent>
      </w:r>
      <w:r w:rsidR="009265E0" w:rsidRPr="00654694">
        <w:rPr>
          <w:rFonts w:asciiTheme="majorHAnsi" w:hAnsiTheme="majorHAnsi" w:cstheme="majorHAnsi"/>
          <w:noProof/>
          <w:color w:val="4B4B4B"/>
          <w:sz w:val="22"/>
          <w:szCs w:val="22"/>
          <w:lang w:val="en-GB" w:eastAsia="en-GB"/>
        </w:rPr>
        <w:drawing>
          <wp:inline distT="0" distB="0" distL="0" distR="0" wp14:anchorId="125DC421" wp14:editId="4CEFCD79">
            <wp:extent cx="908355" cy="10283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1055" cy="1031432"/>
                    </a:xfrm>
                    <a:prstGeom prst="rect">
                      <a:avLst/>
                    </a:prstGeom>
                    <a:noFill/>
                    <a:ln>
                      <a:noFill/>
                    </a:ln>
                  </pic:spPr>
                </pic:pic>
              </a:graphicData>
            </a:graphic>
          </wp:inline>
        </w:drawing>
      </w:r>
    </w:p>
    <w:p w14:paraId="0EE2E9F6" w14:textId="77777777" w:rsidR="00B16A1A" w:rsidRDefault="00C028BC" w:rsidP="0088291C">
      <w:pPr>
        <w:pStyle w:val="NoSpacing"/>
        <w:ind w:left="-567" w:right="-347"/>
        <w:rPr>
          <w:rFonts w:asciiTheme="majorHAnsi" w:hAnsiTheme="majorHAnsi" w:cstheme="majorHAnsi"/>
          <w:b/>
          <w:sz w:val="22"/>
          <w:szCs w:val="22"/>
        </w:rPr>
      </w:pPr>
      <w:r w:rsidRPr="00654694">
        <w:rPr>
          <w:rFonts w:asciiTheme="majorHAnsi" w:hAnsiTheme="majorHAnsi" w:cstheme="majorHAnsi"/>
          <w:b/>
          <w:sz w:val="22"/>
          <w:szCs w:val="22"/>
        </w:rPr>
        <w:t>Affecting broad-</w:t>
      </w:r>
    </w:p>
    <w:p w14:paraId="472525B8" w14:textId="32364B20" w:rsidR="001C34DF" w:rsidRPr="00654694" w:rsidRDefault="00C028BC" w:rsidP="0088291C">
      <w:pPr>
        <w:pStyle w:val="NoSpacing"/>
        <w:ind w:left="-567" w:right="-347"/>
        <w:rPr>
          <w:rFonts w:asciiTheme="majorHAnsi" w:hAnsiTheme="majorHAnsi" w:cstheme="majorHAnsi"/>
          <w:sz w:val="22"/>
          <w:szCs w:val="22"/>
        </w:rPr>
      </w:pPr>
      <w:r w:rsidRPr="00654694">
        <w:rPr>
          <w:rFonts w:asciiTheme="majorHAnsi" w:hAnsiTheme="majorHAnsi" w:cstheme="majorHAnsi"/>
          <w:b/>
          <w:sz w:val="22"/>
          <w:szCs w:val="22"/>
        </w:rPr>
        <w:t xml:space="preserve"> </w:t>
      </w:r>
      <w:proofErr w:type="gramStart"/>
      <w:r w:rsidR="00B16A1A">
        <w:rPr>
          <w:rFonts w:asciiTheme="majorHAnsi" w:hAnsiTheme="majorHAnsi" w:cstheme="majorHAnsi"/>
          <w:b/>
          <w:sz w:val="22"/>
          <w:szCs w:val="22"/>
        </w:rPr>
        <w:t>based</w:t>
      </w:r>
      <w:proofErr w:type="gramEnd"/>
      <w:r w:rsidR="00B16A1A">
        <w:rPr>
          <w:rFonts w:asciiTheme="majorHAnsi" w:hAnsiTheme="majorHAnsi" w:cstheme="majorHAnsi"/>
          <w:b/>
          <w:sz w:val="22"/>
          <w:szCs w:val="22"/>
        </w:rPr>
        <w:t xml:space="preserve"> </w:t>
      </w:r>
      <w:r w:rsidRPr="00654694">
        <w:rPr>
          <w:rFonts w:asciiTheme="majorHAnsi" w:hAnsiTheme="majorHAnsi" w:cstheme="majorHAnsi"/>
          <w:b/>
          <w:sz w:val="22"/>
          <w:szCs w:val="22"/>
        </w:rPr>
        <w:t xml:space="preserve">change </w:t>
      </w:r>
    </w:p>
    <w:p w14:paraId="78902EC7" w14:textId="77777777" w:rsidR="00924292" w:rsidRPr="00654694" w:rsidRDefault="00924292" w:rsidP="00E104D4">
      <w:pPr>
        <w:pStyle w:val="NoSpacing"/>
        <w:ind w:left="-567" w:right="-347"/>
        <w:rPr>
          <w:rFonts w:asciiTheme="majorHAnsi" w:hAnsiTheme="majorHAnsi" w:cstheme="majorHAnsi"/>
          <w:sz w:val="22"/>
          <w:szCs w:val="22"/>
        </w:rPr>
      </w:pPr>
    </w:p>
    <w:p w14:paraId="3F82422F" w14:textId="77777777" w:rsidR="006E5C54" w:rsidRPr="00654694" w:rsidRDefault="006E5C54" w:rsidP="00E104D4">
      <w:pPr>
        <w:pStyle w:val="NoSpacing"/>
        <w:ind w:left="-567" w:right="-347"/>
        <w:rPr>
          <w:rFonts w:asciiTheme="majorHAnsi" w:hAnsiTheme="majorHAnsi" w:cstheme="majorHAnsi"/>
          <w:sz w:val="22"/>
          <w:szCs w:val="22"/>
        </w:rPr>
      </w:pPr>
    </w:p>
    <w:p w14:paraId="74C8FB8C" w14:textId="6445D9DA" w:rsidR="006E5C54" w:rsidRPr="00654694" w:rsidRDefault="006E5C54" w:rsidP="006E5C54">
      <w:pPr>
        <w:pStyle w:val="NoSpacing"/>
        <w:pBdr>
          <w:bottom w:val="single" w:sz="12" w:space="1" w:color="0070C0"/>
        </w:pBdr>
        <w:ind w:left="-567" w:right="-347"/>
        <w:rPr>
          <w:rFonts w:asciiTheme="majorHAnsi" w:hAnsiTheme="majorHAnsi" w:cstheme="majorHAnsi"/>
          <w:b/>
          <w:color w:val="0070C0"/>
          <w:sz w:val="22"/>
          <w:szCs w:val="22"/>
        </w:rPr>
      </w:pPr>
      <w:r w:rsidRPr="00654694">
        <w:rPr>
          <w:rFonts w:asciiTheme="majorHAnsi" w:hAnsiTheme="majorHAnsi" w:cstheme="majorHAnsi"/>
          <w:b/>
          <w:color w:val="0070C0"/>
          <w:sz w:val="22"/>
          <w:szCs w:val="22"/>
        </w:rPr>
        <w:t>Project Results:</w:t>
      </w:r>
    </w:p>
    <w:p w14:paraId="0331DE51" w14:textId="77777777" w:rsidR="006E5C54" w:rsidRPr="00654694" w:rsidRDefault="006E5C54" w:rsidP="00E104D4">
      <w:pPr>
        <w:pStyle w:val="NoSpacing"/>
        <w:ind w:left="-567" w:right="-347"/>
        <w:rPr>
          <w:rFonts w:asciiTheme="majorHAnsi" w:hAnsiTheme="majorHAnsi" w:cstheme="majorHAnsi"/>
          <w:sz w:val="22"/>
          <w:szCs w:val="22"/>
        </w:rPr>
      </w:pPr>
    </w:p>
    <w:p w14:paraId="406EA1B2" w14:textId="3FB915E9" w:rsidR="00760F8D" w:rsidRPr="00654694" w:rsidRDefault="00924292"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Corruption comes in a number of guises, and is endlessly creative. Countering it requires </w:t>
      </w:r>
      <w:r w:rsidR="001B3054" w:rsidRPr="00654694">
        <w:rPr>
          <w:rFonts w:asciiTheme="majorHAnsi" w:hAnsiTheme="majorHAnsi" w:cstheme="majorHAnsi"/>
          <w:sz w:val="22"/>
          <w:szCs w:val="22"/>
        </w:rPr>
        <w:t>careful time spent up-front to establish</w:t>
      </w:r>
      <w:r w:rsidRPr="00654694">
        <w:rPr>
          <w:rFonts w:asciiTheme="majorHAnsi" w:hAnsiTheme="majorHAnsi" w:cstheme="majorHAnsi"/>
          <w:sz w:val="22"/>
          <w:szCs w:val="22"/>
        </w:rPr>
        <w:t xml:space="preserve"> </w:t>
      </w:r>
      <w:r w:rsidR="001B3054" w:rsidRPr="00654694">
        <w:rPr>
          <w:rFonts w:asciiTheme="majorHAnsi" w:hAnsiTheme="majorHAnsi" w:cstheme="majorHAnsi"/>
          <w:sz w:val="22"/>
          <w:szCs w:val="22"/>
        </w:rPr>
        <w:t xml:space="preserve">the processes, institutions and practices that are most vulnerable to abuse. The initial months of PAC REDD were spent developing a </w:t>
      </w:r>
      <w:r w:rsidRPr="00654694">
        <w:rPr>
          <w:rFonts w:asciiTheme="majorHAnsi" w:hAnsiTheme="majorHAnsi" w:cstheme="majorHAnsi"/>
          <w:sz w:val="22"/>
          <w:szCs w:val="22"/>
        </w:rPr>
        <w:t xml:space="preserve">step-by-step </w:t>
      </w:r>
      <w:r w:rsidR="001B3054" w:rsidRPr="00654694">
        <w:rPr>
          <w:rFonts w:asciiTheme="majorHAnsi" w:hAnsiTheme="majorHAnsi" w:cstheme="majorHAnsi"/>
          <w:sz w:val="22"/>
          <w:szCs w:val="22"/>
        </w:rPr>
        <w:t xml:space="preserve">manual for assessing and </w:t>
      </w:r>
      <w:proofErr w:type="spellStart"/>
      <w:r w:rsidR="001B3054" w:rsidRPr="00654694">
        <w:rPr>
          <w:rFonts w:asciiTheme="majorHAnsi" w:hAnsiTheme="majorHAnsi" w:cstheme="majorHAnsi"/>
          <w:sz w:val="22"/>
          <w:szCs w:val="22"/>
        </w:rPr>
        <w:t>prioritising</w:t>
      </w:r>
      <w:proofErr w:type="spellEnd"/>
      <w:r w:rsidR="001B3054" w:rsidRPr="00654694">
        <w:rPr>
          <w:rFonts w:asciiTheme="majorHAnsi" w:hAnsiTheme="majorHAnsi" w:cstheme="majorHAnsi"/>
          <w:sz w:val="22"/>
          <w:szCs w:val="22"/>
        </w:rPr>
        <w:t xml:space="preserve"> risks to REDD+ effectiveness. </w:t>
      </w:r>
      <w:hyperlink r:id="rId15" w:history="1">
        <w:r w:rsidRPr="00654694">
          <w:rPr>
            <w:rStyle w:val="Hyperlink"/>
            <w:rFonts w:asciiTheme="majorHAnsi" w:hAnsiTheme="majorHAnsi" w:cstheme="majorHAnsi"/>
            <w:i/>
            <w:color w:val="0000FF"/>
            <w:sz w:val="22"/>
            <w:szCs w:val="22"/>
          </w:rPr>
          <w:t>Keeping REDD+ clean</w:t>
        </w:r>
      </w:hyperlink>
      <w:r w:rsidRPr="00654694">
        <w:rPr>
          <w:rFonts w:asciiTheme="majorHAnsi" w:hAnsiTheme="majorHAnsi" w:cstheme="majorHAnsi"/>
          <w:sz w:val="22"/>
          <w:szCs w:val="22"/>
        </w:rPr>
        <w:t xml:space="preserve"> </w:t>
      </w:r>
      <w:r w:rsidR="00D007E6" w:rsidRPr="00654694">
        <w:rPr>
          <w:rFonts w:asciiTheme="majorHAnsi" w:hAnsiTheme="majorHAnsi" w:cstheme="majorHAnsi"/>
          <w:sz w:val="22"/>
          <w:szCs w:val="22"/>
        </w:rPr>
        <w:t xml:space="preserve">walks users through how corruption can take root at all stages, from policy-making in </w:t>
      </w:r>
      <w:r w:rsidR="002E47AB" w:rsidRPr="00654694">
        <w:rPr>
          <w:rFonts w:asciiTheme="majorHAnsi" w:hAnsiTheme="majorHAnsi" w:cstheme="majorHAnsi"/>
          <w:sz w:val="22"/>
          <w:szCs w:val="22"/>
        </w:rPr>
        <w:t>the capital</w:t>
      </w:r>
      <w:r w:rsidR="00D007E6" w:rsidRPr="00654694">
        <w:rPr>
          <w:rFonts w:asciiTheme="majorHAnsi" w:hAnsiTheme="majorHAnsi" w:cstheme="majorHAnsi"/>
          <w:sz w:val="22"/>
          <w:szCs w:val="22"/>
        </w:rPr>
        <w:t xml:space="preserve"> to projects deep within the forest. It </w:t>
      </w:r>
      <w:r w:rsidR="001B3054" w:rsidRPr="00654694">
        <w:rPr>
          <w:rFonts w:asciiTheme="majorHAnsi" w:hAnsiTheme="majorHAnsi" w:cstheme="majorHAnsi"/>
          <w:sz w:val="22"/>
          <w:szCs w:val="22"/>
        </w:rPr>
        <w:t xml:space="preserve">provides a simple yet comprehensive framework for examining a country’s policy, legal, regulatory and institutional governance as pertains to REDD+, assessing and </w:t>
      </w:r>
      <w:proofErr w:type="spellStart"/>
      <w:r w:rsidR="001B3054" w:rsidRPr="00654694">
        <w:rPr>
          <w:rFonts w:asciiTheme="majorHAnsi" w:hAnsiTheme="majorHAnsi" w:cstheme="majorHAnsi"/>
          <w:sz w:val="22"/>
          <w:szCs w:val="22"/>
        </w:rPr>
        <w:t>prioritising</w:t>
      </w:r>
      <w:proofErr w:type="spellEnd"/>
      <w:r w:rsidR="001B3054" w:rsidRPr="00654694">
        <w:rPr>
          <w:rFonts w:asciiTheme="majorHAnsi" w:hAnsiTheme="majorHAnsi" w:cstheme="majorHAnsi"/>
          <w:sz w:val="22"/>
          <w:szCs w:val="22"/>
        </w:rPr>
        <w:t xml:space="preserve"> corruption risks according to the likelihood of occurrence and the severity of potential damage wrought, and addressing those risks preemptively. </w:t>
      </w:r>
    </w:p>
    <w:p w14:paraId="36B4F915" w14:textId="77777777" w:rsidR="00760F8D" w:rsidRPr="00654694" w:rsidRDefault="00760F8D" w:rsidP="00E104D4">
      <w:pPr>
        <w:pStyle w:val="NoSpacing"/>
        <w:ind w:left="-567" w:right="-347"/>
        <w:rPr>
          <w:rFonts w:asciiTheme="majorHAnsi" w:hAnsiTheme="majorHAnsi" w:cstheme="majorHAnsi"/>
          <w:sz w:val="22"/>
          <w:szCs w:val="22"/>
        </w:rPr>
      </w:pPr>
    </w:p>
    <w:p w14:paraId="2AFE51EA" w14:textId="40663CCD" w:rsidR="00924292" w:rsidRPr="00654694" w:rsidRDefault="008F4817"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The manual offered TI </w:t>
      </w:r>
      <w:r w:rsidR="00760F8D" w:rsidRPr="00654694">
        <w:rPr>
          <w:rFonts w:asciiTheme="majorHAnsi" w:hAnsiTheme="majorHAnsi" w:cstheme="majorHAnsi"/>
          <w:sz w:val="22"/>
          <w:szCs w:val="22"/>
        </w:rPr>
        <w:t>national chapters far mor</w:t>
      </w:r>
      <w:r w:rsidR="002E47AB" w:rsidRPr="00654694">
        <w:rPr>
          <w:rFonts w:asciiTheme="majorHAnsi" w:hAnsiTheme="majorHAnsi" w:cstheme="majorHAnsi"/>
          <w:sz w:val="22"/>
          <w:szCs w:val="22"/>
        </w:rPr>
        <w:t>e than a research methodology - i</w:t>
      </w:r>
      <w:r w:rsidR="00760F8D" w:rsidRPr="00654694">
        <w:rPr>
          <w:rFonts w:asciiTheme="majorHAnsi" w:hAnsiTheme="majorHAnsi" w:cstheme="majorHAnsi"/>
          <w:sz w:val="22"/>
          <w:szCs w:val="22"/>
        </w:rPr>
        <w:t xml:space="preserve">t was an entry point for them to meet with relevant parties across the REDD+ landscape, offering a practical means of broaching sensitive issues and structuring conversations around positive, preventative actions. </w:t>
      </w:r>
      <w:r w:rsidR="002E47AB" w:rsidRPr="00654694">
        <w:rPr>
          <w:rFonts w:asciiTheme="majorHAnsi" w:hAnsiTheme="majorHAnsi" w:cstheme="majorHAnsi"/>
          <w:sz w:val="22"/>
          <w:szCs w:val="22"/>
        </w:rPr>
        <w:t>The guide has b</w:t>
      </w:r>
      <w:r w:rsidRPr="00654694">
        <w:rPr>
          <w:rFonts w:asciiTheme="majorHAnsi" w:hAnsiTheme="majorHAnsi" w:cstheme="majorHAnsi"/>
          <w:sz w:val="22"/>
          <w:szCs w:val="22"/>
        </w:rPr>
        <w:t xml:space="preserve">een used extensively within the </w:t>
      </w:r>
      <w:r w:rsidR="002E47AB" w:rsidRPr="00654694">
        <w:rPr>
          <w:rFonts w:asciiTheme="majorHAnsi" w:hAnsiTheme="majorHAnsi" w:cstheme="majorHAnsi"/>
          <w:sz w:val="22"/>
          <w:szCs w:val="22"/>
        </w:rPr>
        <w:t xml:space="preserve">project countries, and </w:t>
      </w:r>
      <w:r w:rsidR="00760F8D" w:rsidRPr="00654694">
        <w:rPr>
          <w:rFonts w:asciiTheme="majorHAnsi" w:hAnsiTheme="majorHAnsi" w:cstheme="majorHAnsi"/>
          <w:sz w:val="22"/>
          <w:szCs w:val="22"/>
        </w:rPr>
        <w:t xml:space="preserve">has </w:t>
      </w:r>
      <w:r w:rsidR="00D007E6" w:rsidRPr="00654694">
        <w:rPr>
          <w:rFonts w:asciiTheme="majorHAnsi" w:hAnsiTheme="majorHAnsi" w:cstheme="majorHAnsi"/>
          <w:sz w:val="22"/>
          <w:szCs w:val="22"/>
        </w:rPr>
        <w:t>been well-received by international audiences</w:t>
      </w:r>
      <w:r w:rsidR="0045387D" w:rsidRPr="00654694">
        <w:rPr>
          <w:rFonts w:asciiTheme="majorHAnsi" w:hAnsiTheme="majorHAnsi" w:cstheme="majorHAnsi"/>
          <w:sz w:val="22"/>
          <w:szCs w:val="22"/>
        </w:rPr>
        <w:t>. GIZ</w:t>
      </w:r>
      <w:r w:rsidR="004B5D76" w:rsidRPr="00654694">
        <w:rPr>
          <w:rFonts w:asciiTheme="majorHAnsi" w:hAnsiTheme="majorHAnsi" w:cstheme="majorHAnsi"/>
          <w:sz w:val="22"/>
          <w:szCs w:val="22"/>
        </w:rPr>
        <w:t>, for example,</w:t>
      </w:r>
      <w:r w:rsidR="0045387D" w:rsidRPr="00654694">
        <w:rPr>
          <w:rFonts w:asciiTheme="majorHAnsi" w:hAnsiTheme="majorHAnsi" w:cstheme="majorHAnsi"/>
          <w:sz w:val="22"/>
          <w:szCs w:val="22"/>
        </w:rPr>
        <w:t xml:space="preserve"> have expressed an interest in </w:t>
      </w:r>
      <w:r w:rsidR="00D007E6" w:rsidRPr="00654694">
        <w:rPr>
          <w:rFonts w:asciiTheme="majorHAnsi" w:hAnsiTheme="majorHAnsi" w:cstheme="majorHAnsi"/>
          <w:sz w:val="22"/>
          <w:szCs w:val="22"/>
        </w:rPr>
        <w:t>co-developing a similar document for use on FLEG-T</w:t>
      </w:r>
      <w:r w:rsidR="0045387D" w:rsidRPr="00654694">
        <w:rPr>
          <w:rFonts w:asciiTheme="majorHAnsi" w:hAnsiTheme="majorHAnsi" w:cstheme="majorHAnsi"/>
          <w:sz w:val="22"/>
          <w:szCs w:val="22"/>
        </w:rPr>
        <w:t>.</w:t>
      </w:r>
      <w:r w:rsidR="00760F8D" w:rsidRPr="00654694">
        <w:rPr>
          <w:rFonts w:asciiTheme="majorHAnsi" w:hAnsiTheme="majorHAnsi" w:cstheme="majorHAnsi"/>
          <w:sz w:val="22"/>
          <w:szCs w:val="22"/>
        </w:rPr>
        <w:t xml:space="preserve"> </w:t>
      </w:r>
    </w:p>
    <w:p w14:paraId="308903A8" w14:textId="2AED688E" w:rsidR="0045387D" w:rsidRPr="00654694" w:rsidRDefault="0045387D" w:rsidP="00E104D4">
      <w:pPr>
        <w:pStyle w:val="NoSpacing"/>
        <w:ind w:left="-567" w:right="-347"/>
        <w:rPr>
          <w:rFonts w:asciiTheme="majorHAnsi" w:hAnsiTheme="majorHAnsi" w:cstheme="majorHAnsi"/>
          <w:sz w:val="22"/>
          <w:szCs w:val="22"/>
        </w:rPr>
      </w:pPr>
    </w:p>
    <w:p w14:paraId="135E1555" w14:textId="7142CA9B" w:rsidR="0045387D" w:rsidRPr="00654694" w:rsidRDefault="0045387D" w:rsidP="00E104D4">
      <w:pPr>
        <w:pStyle w:val="NoSpacing"/>
        <w:ind w:left="-567" w:right="-347"/>
        <w:rPr>
          <w:rFonts w:asciiTheme="majorHAnsi" w:hAnsiTheme="majorHAnsi" w:cstheme="majorHAnsi"/>
          <w:i/>
          <w:sz w:val="22"/>
          <w:szCs w:val="22"/>
        </w:rPr>
      </w:pPr>
      <w:r w:rsidRPr="00654694">
        <w:rPr>
          <w:rFonts w:asciiTheme="majorHAnsi" w:hAnsiTheme="majorHAnsi" w:cstheme="majorHAnsi"/>
          <w:i/>
          <w:sz w:val="22"/>
          <w:szCs w:val="22"/>
        </w:rPr>
        <w:t>Rick Jacobsen is</w:t>
      </w:r>
      <w:r w:rsidR="008812D3" w:rsidRPr="00654694">
        <w:rPr>
          <w:rFonts w:asciiTheme="majorHAnsi" w:hAnsiTheme="majorHAnsi" w:cstheme="majorHAnsi"/>
          <w:i/>
          <w:sz w:val="22"/>
          <w:szCs w:val="22"/>
        </w:rPr>
        <w:t xml:space="preserve"> </w:t>
      </w:r>
      <w:r w:rsidR="008812D3" w:rsidRPr="00654694">
        <w:rPr>
          <w:rFonts w:asciiTheme="majorHAnsi" w:hAnsiTheme="majorHAnsi" w:cstheme="majorHAnsi"/>
          <w:i/>
          <w:sz w:val="22"/>
          <w:szCs w:val="22"/>
          <w:lang w:val="en-GB"/>
        </w:rPr>
        <w:t xml:space="preserve">Team Leader of International Forest Policy </w:t>
      </w:r>
      <w:r w:rsidRPr="00654694">
        <w:rPr>
          <w:rFonts w:asciiTheme="majorHAnsi" w:hAnsiTheme="majorHAnsi" w:cstheme="majorHAnsi"/>
          <w:i/>
          <w:sz w:val="22"/>
          <w:szCs w:val="22"/>
        </w:rPr>
        <w:t xml:space="preserve">at </w:t>
      </w:r>
      <w:hyperlink r:id="rId16" w:history="1">
        <w:r w:rsidRPr="00654694">
          <w:rPr>
            <w:rStyle w:val="Hyperlink"/>
            <w:rFonts w:asciiTheme="majorHAnsi" w:hAnsiTheme="majorHAnsi" w:cstheme="majorHAnsi"/>
            <w:i/>
            <w:sz w:val="22"/>
            <w:szCs w:val="22"/>
          </w:rPr>
          <w:t>Global Witness</w:t>
        </w:r>
      </w:hyperlink>
      <w:r w:rsidRPr="00654694">
        <w:rPr>
          <w:rFonts w:asciiTheme="majorHAnsi" w:hAnsiTheme="majorHAnsi" w:cstheme="majorHAnsi"/>
          <w:i/>
          <w:sz w:val="22"/>
          <w:szCs w:val="22"/>
        </w:rPr>
        <w:t>.</w:t>
      </w:r>
    </w:p>
    <w:p w14:paraId="68E4D02A" w14:textId="2DBBF464" w:rsidR="0045387D" w:rsidRPr="00654694" w:rsidRDefault="00D12BD8" w:rsidP="00E104D4">
      <w:pPr>
        <w:pStyle w:val="NoSpacing"/>
        <w:ind w:left="-567" w:right="-347"/>
        <w:rPr>
          <w:rFonts w:asciiTheme="majorHAnsi" w:hAnsiTheme="majorHAnsi" w:cstheme="majorHAnsi"/>
          <w:sz w:val="22"/>
          <w:szCs w:val="22"/>
        </w:rPr>
      </w:pPr>
      <w:r w:rsidRPr="00654694">
        <w:rPr>
          <w:rFonts w:asciiTheme="majorHAnsi" w:hAnsiTheme="majorHAnsi" w:cstheme="majorHAnsi"/>
          <w:noProof/>
          <w:color w:val="4B4B4B"/>
          <w:sz w:val="22"/>
          <w:szCs w:val="22"/>
          <w:lang w:val="en-GB" w:eastAsia="en-GB"/>
        </w:rPr>
        <w:drawing>
          <wp:anchor distT="0" distB="0" distL="114300" distR="114300" simplePos="0" relativeHeight="251661312" behindDoc="1" locked="0" layoutInCell="1" allowOverlap="1" wp14:anchorId="5BCFB291" wp14:editId="4040DAD3">
            <wp:simplePos x="0" y="0"/>
            <wp:positionH relativeFrom="column">
              <wp:posOffset>4384040</wp:posOffset>
            </wp:positionH>
            <wp:positionV relativeFrom="paragraph">
              <wp:posOffset>133985</wp:posOffset>
            </wp:positionV>
            <wp:extent cx="893445" cy="891540"/>
            <wp:effectExtent l="0" t="0" r="1905" b="3810"/>
            <wp:wrapTight wrapText="bothSides">
              <wp:wrapPolygon edited="0">
                <wp:start x="0" y="0"/>
                <wp:lineTo x="0" y="21231"/>
                <wp:lineTo x="21186" y="21231"/>
                <wp:lineTo x="211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44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694">
        <w:rPr>
          <w:rFonts w:asciiTheme="majorHAnsi" w:hAnsiTheme="majorHAnsi" w:cstheme="majorHAnsi"/>
          <w:noProof/>
          <w:sz w:val="22"/>
          <w:szCs w:val="22"/>
          <w:lang w:val="en-GB" w:eastAsia="en-GB"/>
        </w:rPr>
        <mc:AlternateContent>
          <mc:Choice Requires="wps">
            <w:drawing>
              <wp:anchor distT="0" distB="0" distL="114300" distR="114300" simplePos="0" relativeHeight="251660288" behindDoc="0" locked="0" layoutInCell="1" allowOverlap="1" wp14:anchorId="6875F445" wp14:editId="792AC5AA">
                <wp:simplePos x="0" y="0"/>
                <wp:positionH relativeFrom="column">
                  <wp:posOffset>-553085</wp:posOffset>
                </wp:positionH>
                <wp:positionV relativeFrom="paragraph">
                  <wp:posOffset>133350</wp:posOffset>
                </wp:positionV>
                <wp:extent cx="4572000" cy="108013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4572000" cy="10801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EA0C0" w14:textId="0F9860DF" w:rsidR="00C37EAE" w:rsidRPr="0045387D" w:rsidRDefault="00C37EAE" w:rsidP="0045387D">
                            <w:pPr>
                              <w:pStyle w:val="NoSpacing"/>
                              <w:rPr>
                                <w:i/>
                              </w:rPr>
                            </w:pPr>
                            <w:r w:rsidRPr="0045387D">
                              <w:rPr>
                                <w:i/>
                              </w:rPr>
                              <w:t>“Transparency International’s new guide to preventing corruption in REDD+ can help governments, the private sector and NGOs to address old and new risks at the national level. Talking about corruption in many of the countries participating in REDD+ isn’t easy; often it’s the large and menacing elephant in the room. But the best way to begin addressing these risks is to shed light on them, as Transparency International’s guide ably does.”</w:t>
                            </w:r>
                          </w:p>
                          <w:p w14:paraId="26CB77ED" w14:textId="77777777" w:rsidR="00C37EAE" w:rsidRDefault="00C37EAE"/>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3.55pt;margin-top:10.5pt;width:5in;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" filled="f" stroked="f">
                <v:textbox inset=",,1mm">
                  <w:txbxContent>
                    <w:p w14:paraId="3A2EA0C0" w14:textId="0F9860DF" w:rsidR="00C37EAE" w:rsidRPr="0045387D" w:rsidRDefault="00C37EAE" w:rsidP="0045387D">
                      <w:pPr>
                        <w:pStyle w:val="NoSpacing"/>
                        <w:rPr>
                          <w:i/>
                        </w:rPr>
                      </w:pPr>
                      <w:r w:rsidRPr="0045387D">
                        <w:rPr>
                          <w:i/>
                        </w:rPr>
                        <w:t>“Transparency International’s new guide to preventing corruption in REDD+ can help governments, the private sector and NGOs to address old and new risks at the national level. Talking about corruption in many of the countries participating in REDD+ isn’t easy; often it’s the large and menacing elephant in the room. But the best way to begin addressing these risks is to shed light on them, as Transparency International’s guide ably does.”</w:t>
                      </w:r>
                    </w:p>
                    <w:p w14:paraId="26CB77ED" w14:textId="77777777" w:rsidR="00C37EAE" w:rsidRDefault="00C37EAE"/>
                  </w:txbxContent>
                </v:textbox>
                <w10:wrap type="square"/>
              </v:shape>
            </w:pict>
          </mc:Fallback>
        </mc:AlternateContent>
      </w:r>
    </w:p>
    <w:p w14:paraId="14FE7479" w14:textId="5FAFA94D" w:rsidR="0045387D" w:rsidRPr="00654694" w:rsidRDefault="0045387D" w:rsidP="00E104D4">
      <w:pPr>
        <w:widowControl w:val="0"/>
        <w:autoSpaceDE w:val="0"/>
        <w:autoSpaceDN w:val="0"/>
        <w:adjustRightInd w:val="0"/>
        <w:ind w:left="-567" w:right="-347"/>
        <w:jc w:val="right"/>
        <w:rPr>
          <w:rFonts w:asciiTheme="majorHAnsi" w:hAnsiTheme="majorHAnsi" w:cstheme="majorHAnsi"/>
          <w:color w:val="4B4B4B"/>
          <w:sz w:val="22"/>
          <w:szCs w:val="22"/>
          <w:lang w:val="en-US"/>
        </w:rPr>
      </w:pPr>
    </w:p>
    <w:p w14:paraId="4E5F6F8B" w14:textId="77777777" w:rsidR="00924292" w:rsidRPr="00654694" w:rsidRDefault="00924292" w:rsidP="00E104D4">
      <w:pPr>
        <w:pStyle w:val="NoSpacing"/>
        <w:ind w:left="-567" w:right="-347"/>
        <w:rPr>
          <w:rFonts w:asciiTheme="majorHAnsi" w:hAnsiTheme="majorHAnsi" w:cstheme="majorHAnsi"/>
          <w:sz w:val="22"/>
          <w:szCs w:val="22"/>
        </w:rPr>
      </w:pPr>
    </w:p>
    <w:p w14:paraId="66255B8C" w14:textId="77777777" w:rsidR="00EC5CBD" w:rsidRPr="00654694" w:rsidRDefault="00EC5CBD" w:rsidP="00E104D4">
      <w:pPr>
        <w:pStyle w:val="NoSpacing"/>
        <w:ind w:left="-567" w:right="-347"/>
        <w:rPr>
          <w:rFonts w:asciiTheme="majorHAnsi" w:hAnsiTheme="majorHAnsi" w:cstheme="majorHAnsi"/>
          <w:sz w:val="22"/>
          <w:szCs w:val="22"/>
        </w:rPr>
      </w:pPr>
    </w:p>
    <w:p w14:paraId="2176E555" w14:textId="77777777" w:rsidR="00B16A1A" w:rsidRDefault="00B16A1A" w:rsidP="00E104D4">
      <w:pPr>
        <w:pStyle w:val="NoSpacing"/>
        <w:ind w:left="-567" w:right="-347"/>
        <w:rPr>
          <w:rFonts w:asciiTheme="majorHAnsi" w:hAnsiTheme="majorHAnsi" w:cstheme="majorHAnsi"/>
          <w:sz w:val="22"/>
          <w:szCs w:val="22"/>
        </w:rPr>
      </w:pPr>
    </w:p>
    <w:p w14:paraId="6948A998" w14:textId="77777777" w:rsidR="00B16A1A" w:rsidRDefault="00B16A1A" w:rsidP="00E104D4">
      <w:pPr>
        <w:pStyle w:val="NoSpacing"/>
        <w:ind w:left="-567" w:right="-347"/>
        <w:rPr>
          <w:rFonts w:asciiTheme="majorHAnsi" w:hAnsiTheme="majorHAnsi" w:cstheme="majorHAnsi"/>
          <w:sz w:val="22"/>
          <w:szCs w:val="22"/>
        </w:rPr>
      </w:pPr>
    </w:p>
    <w:p w14:paraId="239F2382" w14:textId="77777777" w:rsidR="00B16A1A" w:rsidRDefault="00B16A1A" w:rsidP="00E104D4">
      <w:pPr>
        <w:pStyle w:val="NoSpacing"/>
        <w:ind w:left="-567" w:right="-347"/>
        <w:rPr>
          <w:rFonts w:asciiTheme="majorHAnsi" w:hAnsiTheme="majorHAnsi" w:cstheme="majorHAnsi"/>
          <w:sz w:val="22"/>
          <w:szCs w:val="22"/>
        </w:rPr>
      </w:pPr>
    </w:p>
    <w:p w14:paraId="2B21EC4C" w14:textId="77777777" w:rsidR="00B16A1A" w:rsidRDefault="00B16A1A" w:rsidP="00E104D4">
      <w:pPr>
        <w:pStyle w:val="NoSpacing"/>
        <w:ind w:left="-567" w:right="-347"/>
        <w:rPr>
          <w:rFonts w:asciiTheme="majorHAnsi" w:hAnsiTheme="majorHAnsi" w:cstheme="majorHAnsi"/>
          <w:sz w:val="22"/>
          <w:szCs w:val="22"/>
        </w:rPr>
      </w:pPr>
    </w:p>
    <w:p w14:paraId="052BBFDB" w14:textId="0FB23B12" w:rsidR="00C513AA" w:rsidRPr="00654694" w:rsidRDefault="00D007E6"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REDD-affected communities were one of the key s</w:t>
      </w:r>
      <w:r w:rsidR="008F4817" w:rsidRPr="00654694">
        <w:rPr>
          <w:rFonts w:asciiTheme="majorHAnsi" w:hAnsiTheme="majorHAnsi" w:cstheme="majorHAnsi"/>
          <w:sz w:val="22"/>
          <w:szCs w:val="22"/>
        </w:rPr>
        <w:t xml:space="preserve">takeholder groups with whom </w:t>
      </w:r>
      <w:r w:rsidRPr="00654694">
        <w:rPr>
          <w:rFonts w:asciiTheme="majorHAnsi" w:hAnsiTheme="majorHAnsi" w:cstheme="majorHAnsi"/>
          <w:sz w:val="22"/>
          <w:szCs w:val="22"/>
        </w:rPr>
        <w:t>chapters conducted consultations. During the di</w:t>
      </w:r>
      <w:r w:rsidR="008F4817" w:rsidRPr="00654694">
        <w:rPr>
          <w:rFonts w:asciiTheme="majorHAnsi" w:hAnsiTheme="majorHAnsi" w:cstheme="majorHAnsi"/>
          <w:sz w:val="22"/>
          <w:szCs w:val="22"/>
        </w:rPr>
        <w:t>agnostic phase of the project staff</w:t>
      </w:r>
      <w:r w:rsidRPr="00654694">
        <w:rPr>
          <w:rFonts w:asciiTheme="majorHAnsi" w:hAnsiTheme="majorHAnsi" w:cstheme="majorHAnsi"/>
          <w:sz w:val="22"/>
          <w:szCs w:val="22"/>
        </w:rPr>
        <w:t xml:space="preserve"> visited a number of </w:t>
      </w:r>
      <w:r w:rsidR="00C513AA" w:rsidRPr="00654694">
        <w:rPr>
          <w:rFonts w:asciiTheme="majorHAnsi" w:hAnsiTheme="majorHAnsi" w:cstheme="majorHAnsi"/>
          <w:sz w:val="22"/>
          <w:szCs w:val="22"/>
        </w:rPr>
        <w:t>R</w:t>
      </w:r>
      <w:r w:rsidRPr="00654694">
        <w:rPr>
          <w:rFonts w:asciiTheme="majorHAnsi" w:hAnsiTheme="majorHAnsi" w:cstheme="majorHAnsi"/>
          <w:sz w:val="22"/>
          <w:szCs w:val="22"/>
        </w:rPr>
        <w:t>EDD+ pilot sites, to gauge locals’</w:t>
      </w:r>
      <w:r w:rsidR="00C513AA" w:rsidRPr="00654694">
        <w:rPr>
          <w:rFonts w:asciiTheme="majorHAnsi" w:hAnsiTheme="majorHAnsi" w:cstheme="majorHAnsi"/>
          <w:sz w:val="22"/>
          <w:szCs w:val="22"/>
        </w:rPr>
        <w:t xml:space="preserve"> level</w:t>
      </w:r>
      <w:r w:rsidRPr="00654694">
        <w:rPr>
          <w:rFonts w:asciiTheme="majorHAnsi" w:hAnsiTheme="majorHAnsi" w:cstheme="majorHAnsi"/>
          <w:sz w:val="22"/>
          <w:szCs w:val="22"/>
        </w:rPr>
        <w:t>s</w:t>
      </w:r>
      <w:r w:rsidR="00C513AA" w:rsidRPr="00654694">
        <w:rPr>
          <w:rFonts w:asciiTheme="majorHAnsi" w:hAnsiTheme="majorHAnsi" w:cstheme="majorHAnsi"/>
          <w:sz w:val="22"/>
          <w:szCs w:val="22"/>
        </w:rPr>
        <w:t xml:space="preserve"> of awareness of REDD+ and </w:t>
      </w:r>
      <w:r w:rsidRPr="00654694">
        <w:rPr>
          <w:rFonts w:asciiTheme="majorHAnsi" w:hAnsiTheme="majorHAnsi" w:cstheme="majorHAnsi"/>
          <w:sz w:val="22"/>
          <w:szCs w:val="22"/>
        </w:rPr>
        <w:t xml:space="preserve">to question them on the extent of their </w:t>
      </w:r>
      <w:r w:rsidR="00C513AA" w:rsidRPr="00654694">
        <w:rPr>
          <w:rFonts w:asciiTheme="majorHAnsi" w:hAnsiTheme="majorHAnsi" w:cstheme="majorHAnsi"/>
          <w:sz w:val="22"/>
          <w:szCs w:val="22"/>
        </w:rPr>
        <w:t xml:space="preserve">involvement in the development of REDD+ systems. One trip taken by </w:t>
      </w:r>
      <w:r w:rsidR="0092367B" w:rsidRPr="00654694">
        <w:rPr>
          <w:rFonts w:asciiTheme="majorHAnsi" w:hAnsiTheme="majorHAnsi" w:cstheme="majorHAnsi"/>
          <w:sz w:val="22"/>
          <w:szCs w:val="22"/>
        </w:rPr>
        <w:t xml:space="preserve">TI PNG </w:t>
      </w:r>
      <w:r w:rsidR="00C513AA" w:rsidRPr="00654694">
        <w:rPr>
          <w:rFonts w:asciiTheme="majorHAnsi" w:hAnsiTheme="majorHAnsi" w:cstheme="majorHAnsi"/>
          <w:sz w:val="22"/>
          <w:szCs w:val="22"/>
        </w:rPr>
        <w:t xml:space="preserve">provided the inspiration for a regional-wide educational campaign on REDD+ risks and opportunities.  </w:t>
      </w:r>
    </w:p>
    <w:p w14:paraId="17C5BD8D" w14:textId="77777777" w:rsidR="00C513AA" w:rsidRPr="00654694" w:rsidRDefault="00C513AA" w:rsidP="00E104D4">
      <w:pPr>
        <w:pStyle w:val="NoSpacing"/>
        <w:ind w:left="-567" w:right="-347"/>
        <w:rPr>
          <w:rFonts w:asciiTheme="majorHAnsi" w:hAnsiTheme="majorHAnsi" w:cstheme="majorHAnsi"/>
          <w:sz w:val="22"/>
          <w:szCs w:val="22"/>
        </w:rPr>
      </w:pPr>
    </w:p>
    <w:p w14:paraId="4235EDE4" w14:textId="6921A1F3" w:rsidR="00EC5CBD" w:rsidRDefault="000C0006" w:rsidP="00E104D4">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rPr>
        <w:t xml:space="preserve">The village of </w:t>
      </w:r>
      <w:proofErr w:type="spellStart"/>
      <w:r w:rsidRPr="00654694">
        <w:rPr>
          <w:rFonts w:asciiTheme="majorHAnsi" w:hAnsiTheme="majorHAnsi" w:cstheme="majorHAnsi"/>
          <w:sz w:val="22"/>
          <w:szCs w:val="22"/>
        </w:rPr>
        <w:t>Leileiyafa</w:t>
      </w:r>
      <w:proofErr w:type="spellEnd"/>
      <w:r w:rsidRPr="00654694">
        <w:rPr>
          <w:rFonts w:asciiTheme="majorHAnsi" w:hAnsiTheme="majorHAnsi" w:cstheme="majorHAnsi"/>
          <w:sz w:val="22"/>
          <w:szCs w:val="22"/>
        </w:rPr>
        <w:t xml:space="preserve"> is located on one of five REDD+ pilot sites in PNG, in the southern province of Milne Bay. </w:t>
      </w:r>
      <w:r w:rsidR="00BA620B" w:rsidRPr="00654694">
        <w:rPr>
          <w:rFonts w:asciiTheme="majorHAnsi" w:hAnsiTheme="majorHAnsi" w:cstheme="majorHAnsi"/>
          <w:sz w:val="22"/>
          <w:szCs w:val="22"/>
          <w:lang w:val="en-GB"/>
        </w:rPr>
        <w:t xml:space="preserve">TI PNG had arrived </w:t>
      </w:r>
      <w:r>
        <w:rPr>
          <w:rFonts w:asciiTheme="majorHAnsi" w:hAnsiTheme="majorHAnsi" w:cstheme="majorHAnsi"/>
          <w:sz w:val="22"/>
          <w:szCs w:val="22"/>
          <w:lang w:val="en-GB"/>
        </w:rPr>
        <w:t>there</w:t>
      </w:r>
      <w:r w:rsidR="00BA620B" w:rsidRPr="00654694">
        <w:rPr>
          <w:rFonts w:asciiTheme="majorHAnsi" w:hAnsiTheme="majorHAnsi" w:cstheme="majorHAnsi"/>
          <w:sz w:val="22"/>
          <w:szCs w:val="22"/>
        </w:rPr>
        <w:t xml:space="preserve"> equipped with </w:t>
      </w:r>
      <w:r w:rsidR="007D25BE" w:rsidRPr="00654694">
        <w:rPr>
          <w:rFonts w:asciiTheme="majorHAnsi" w:hAnsiTheme="majorHAnsi" w:cstheme="majorHAnsi"/>
          <w:sz w:val="22"/>
          <w:szCs w:val="22"/>
        </w:rPr>
        <w:t>leaflets detailing</w:t>
      </w:r>
      <w:r w:rsidR="00BA620B" w:rsidRPr="00654694">
        <w:rPr>
          <w:rFonts w:asciiTheme="majorHAnsi" w:hAnsiTheme="majorHAnsi" w:cstheme="majorHAnsi"/>
          <w:sz w:val="22"/>
          <w:szCs w:val="22"/>
        </w:rPr>
        <w:t xml:space="preserve"> their work on REDD+. </w:t>
      </w:r>
      <w:r w:rsidR="007D25BE" w:rsidRPr="00654694">
        <w:rPr>
          <w:rFonts w:asciiTheme="majorHAnsi" w:hAnsiTheme="majorHAnsi" w:cstheme="majorHAnsi"/>
          <w:sz w:val="22"/>
          <w:szCs w:val="22"/>
        </w:rPr>
        <w:t>M</w:t>
      </w:r>
      <w:proofErr w:type="spellStart"/>
      <w:r w:rsidR="00BA620B" w:rsidRPr="00654694">
        <w:rPr>
          <w:rFonts w:asciiTheme="majorHAnsi" w:hAnsiTheme="majorHAnsi" w:cstheme="majorHAnsi"/>
          <w:sz w:val="22"/>
          <w:szCs w:val="22"/>
          <w:lang w:val="en-GB"/>
        </w:rPr>
        <w:t>uch</w:t>
      </w:r>
      <w:proofErr w:type="spellEnd"/>
      <w:r w:rsidR="00BA620B" w:rsidRPr="00654694">
        <w:rPr>
          <w:rFonts w:asciiTheme="majorHAnsi" w:hAnsiTheme="majorHAnsi" w:cstheme="majorHAnsi"/>
          <w:sz w:val="22"/>
          <w:szCs w:val="22"/>
          <w:lang w:val="en-GB"/>
        </w:rPr>
        <w:t xml:space="preserve"> of the village’s population was illiterate, </w:t>
      </w:r>
      <w:r w:rsidR="007D25BE" w:rsidRPr="00654694">
        <w:rPr>
          <w:rFonts w:asciiTheme="majorHAnsi" w:hAnsiTheme="majorHAnsi" w:cstheme="majorHAnsi"/>
          <w:sz w:val="22"/>
          <w:szCs w:val="22"/>
          <w:lang w:val="en-GB"/>
        </w:rPr>
        <w:t xml:space="preserve">however, </w:t>
      </w:r>
      <w:r w:rsidR="008F4817" w:rsidRPr="00654694">
        <w:rPr>
          <w:rFonts w:asciiTheme="majorHAnsi" w:hAnsiTheme="majorHAnsi" w:cstheme="majorHAnsi"/>
          <w:sz w:val="22"/>
          <w:szCs w:val="22"/>
          <w:lang w:val="en-GB"/>
        </w:rPr>
        <w:t xml:space="preserve">so TI PNG </w:t>
      </w:r>
      <w:r w:rsidR="00BA620B" w:rsidRPr="00654694">
        <w:rPr>
          <w:rFonts w:asciiTheme="majorHAnsi" w:hAnsiTheme="majorHAnsi" w:cstheme="majorHAnsi"/>
          <w:sz w:val="22"/>
          <w:szCs w:val="22"/>
          <w:lang w:val="en-GB"/>
        </w:rPr>
        <w:t xml:space="preserve">tried </w:t>
      </w:r>
      <w:r w:rsidR="002E47AB" w:rsidRPr="00654694">
        <w:rPr>
          <w:rFonts w:asciiTheme="majorHAnsi" w:hAnsiTheme="majorHAnsi" w:cstheme="majorHAnsi"/>
          <w:sz w:val="22"/>
          <w:szCs w:val="22"/>
          <w:lang w:val="en-GB"/>
        </w:rPr>
        <w:t xml:space="preserve">instead </w:t>
      </w:r>
      <w:r w:rsidR="00BA620B" w:rsidRPr="00654694">
        <w:rPr>
          <w:rFonts w:asciiTheme="majorHAnsi" w:hAnsiTheme="majorHAnsi" w:cstheme="majorHAnsi"/>
          <w:sz w:val="22"/>
          <w:szCs w:val="22"/>
          <w:lang w:val="en-GB"/>
        </w:rPr>
        <w:t xml:space="preserve">to communicate the fundamentals by drawing </w:t>
      </w:r>
      <w:r w:rsidR="002E47AB" w:rsidRPr="00654694">
        <w:rPr>
          <w:rFonts w:asciiTheme="majorHAnsi" w:hAnsiTheme="majorHAnsi" w:cstheme="majorHAnsi"/>
          <w:sz w:val="22"/>
          <w:szCs w:val="22"/>
          <w:lang w:val="en-GB"/>
        </w:rPr>
        <w:t>pictures</w:t>
      </w:r>
      <w:r w:rsidR="00BA620B" w:rsidRPr="00654694">
        <w:rPr>
          <w:rFonts w:asciiTheme="majorHAnsi" w:hAnsiTheme="majorHAnsi" w:cstheme="majorHAnsi"/>
          <w:sz w:val="22"/>
          <w:szCs w:val="22"/>
          <w:lang w:val="en-GB"/>
        </w:rPr>
        <w:t>. These were the first in a long line of sketches that were to culminate in a campaign poster – aimed at piquing people’s interest in REDD+ opportunities and risks, and connecting them to local sources of advice. The poster presents alternative scenarios – what happens when REDD+ works, and what happens when corruption cre</w:t>
      </w:r>
      <w:r w:rsidR="008812D3" w:rsidRPr="00654694">
        <w:rPr>
          <w:rFonts w:asciiTheme="majorHAnsi" w:hAnsiTheme="majorHAnsi" w:cstheme="majorHAnsi"/>
          <w:sz w:val="22"/>
          <w:szCs w:val="22"/>
          <w:lang w:val="en-GB"/>
        </w:rPr>
        <w:t>eps in - and has a box for chapters to include their contact details and those of their local partners</w:t>
      </w:r>
      <w:r w:rsidR="00BA620B" w:rsidRPr="00654694">
        <w:rPr>
          <w:rFonts w:asciiTheme="majorHAnsi" w:hAnsiTheme="majorHAnsi" w:cstheme="majorHAnsi"/>
          <w:sz w:val="22"/>
          <w:szCs w:val="22"/>
          <w:lang w:val="en-GB"/>
        </w:rPr>
        <w:t xml:space="preserve">. </w:t>
      </w:r>
      <w:r w:rsidR="008812D3" w:rsidRPr="00654694">
        <w:rPr>
          <w:rFonts w:asciiTheme="majorHAnsi" w:hAnsiTheme="majorHAnsi" w:cstheme="majorHAnsi"/>
          <w:sz w:val="22"/>
          <w:szCs w:val="22"/>
          <w:lang w:val="en-GB"/>
        </w:rPr>
        <w:t>This</w:t>
      </w:r>
      <w:r w:rsidR="00355D38" w:rsidRPr="00654694">
        <w:rPr>
          <w:rFonts w:asciiTheme="majorHAnsi" w:hAnsiTheme="majorHAnsi" w:cstheme="majorHAnsi"/>
          <w:sz w:val="22"/>
          <w:szCs w:val="22"/>
          <w:lang w:val="en-GB"/>
        </w:rPr>
        <w:t xml:space="preserve"> has been translated into local languages in all three countries and will be rolled out to REDD-affected communities </w:t>
      </w:r>
      <w:r w:rsidR="008812D3" w:rsidRPr="00654694">
        <w:rPr>
          <w:rFonts w:asciiTheme="majorHAnsi" w:hAnsiTheme="majorHAnsi" w:cstheme="majorHAnsi"/>
          <w:sz w:val="22"/>
          <w:szCs w:val="22"/>
          <w:lang w:val="en-GB"/>
        </w:rPr>
        <w:t>in September</w:t>
      </w:r>
      <w:r w:rsidR="00355D38" w:rsidRPr="00654694">
        <w:rPr>
          <w:rFonts w:asciiTheme="majorHAnsi" w:hAnsiTheme="majorHAnsi" w:cstheme="majorHAnsi"/>
          <w:sz w:val="22"/>
          <w:szCs w:val="22"/>
          <w:lang w:val="en-GB"/>
        </w:rPr>
        <w:t xml:space="preserve">. </w:t>
      </w:r>
    </w:p>
    <w:p w14:paraId="4C5A9190" w14:textId="77777777" w:rsidR="00937F1E" w:rsidRPr="00654694" w:rsidRDefault="00937F1E" w:rsidP="00E104D4">
      <w:pPr>
        <w:pStyle w:val="NoSpacing"/>
        <w:ind w:left="-567" w:right="-347"/>
        <w:rPr>
          <w:rFonts w:asciiTheme="majorHAnsi" w:hAnsiTheme="majorHAnsi" w:cstheme="majorHAnsi"/>
          <w:sz w:val="22"/>
          <w:szCs w:val="22"/>
          <w:lang w:val="en-GB"/>
        </w:rPr>
      </w:pPr>
    </w:p>
    <w:p w14:paraId="63E96047" w14:textId="77777777" w:rsidR="00654694" w:rsidRPr="00654694" w:rsidRDefault="00654694" w:rsidP="00E104D4">
      <w:pPr>
        <w:pStyle w:val="NoSpacing"/>
        <w:ind w:left="-567" w:right="-347"/>
        <w:rPr>
          <w:rFonts w:asciiTheme="majorHAnsi" w:hAnsiTheme="majorHAnsi" w:cstheme="majorHAnsi"/>
          <w:sz w:val="22"/>
          <w:szCs w:val="22"/>
          <w:lang w:val="en-GB"/>
        </w:rPr>
      </w:pPr>
    </w:p>
    <w:p w14:paraId="6E8C3C76" w14:textId="77777777" w:rsidR="00654694" w:rsidRPr="00654694" w:rsidRDefault="00654694" w:rsidP="00654694">
      <w:pPr>
        <w:pStyle w:val="NoSpacing"/>
        <w:pBdr>
          <w:top w:val="single" w:sz="12" w:space="1" w:color="C00000"/>
          <w:left w:val="single" w:sz="12" w:space="4" w:color="C00000"/>
          <w:bottom w:val="single" w:sz="12" w:space="1" w:color="C00000"/>
          <w:right w:val="single" w:sz="12" w:space="4" w:color="C00000"/>
        </w:pBdr>
        <w:ind w:left="-567" w:right="-347"/>
        <w:rPr>
          <w:rFonts w:asciiTheme="majorHAnsi" w:hAnsiTheme="majorHAnsi" w:cstheme="majorHAnsi"/>
          <w:sz w:val="22"/>
          <w:szCs w:val="22"/>
          <w:lang w:val="en-GB"/>
        </w:rPr>
      </w:pPr>
    </w:p>
    <w:p w14:paraId="29ABC448" w14:textId="77777777" w:rsidR="00654694" w:rsidRPr="00654694" w:rsidRDefault="00654694" w:rsidP="00654694">
      <w:pPr>
        <w:pStyle w:val="NoSpacing"/>
        <w:pBdr>
          <w:top w:val="single" w:sz="12" w:space="1" w:color="C00000"/>
          <w:left w:val="single" w:sz="12" w:space="4" w:color="C00000"/>
          <w:bottom w:val="single" w:sz="12" w:space="1" w:color="C00000"/>
          <w:right w:val="single" w:sz="12" w:space="4" w:color="C00000"/>
        </w:pBdr>
        <w:ind w:left="-567" w:right="-347"/>
        <w:rPr>
          <w:rFonts w:asciiTheme="majorHAnsi" w:hAnsiTheme="majorHAnsi" w:cstheme="majorHAnsi"/>
          <w:b/>
          <w:sz w:val="22"/>
          <w:szCs w:val="22"/>
          <w:lang w:val="en-GB"/>
        </w:rPr>
      </w:pPr>
      <w:r w:rsidRPr="00654694">
        <w:rPr>
          <w:rFonts w:asciiTheme="majorHAnsi" w:hAnsiTheme="majorHAnsi" w:cstheme="majorHAnsi"/>
          <w:b/>
          <w:sz w:val="22"/>
          <w:szCs w:val="22"/>
          <w:lang w:val="en-GB"/>
        </w:rPr>
        <w:t>Elements from the REDD+ integrity campaign poster</w:t>
      </w:r>
    </w:p>
    <w:p w14:paraId="3D95D287" w14:textId="77777777" w:rsidR="00654694" w:rsidRPr="00654694" w:rsidRDefault="00654694" w:rsidP="00654694">
      <w:pPr>
        <w:pStyle w:val="NoSpacing"/>
        <w:pBdr>
          <w:top w:val="single" w:sz="12" w:space="1" w:color="C00000"/>
          <w:left w:val="single" w:sz="12" w:space="4" w:color="C00000"/>
          <w:bottom w:val="single" w:sz="12" w:space="1" w:color="C00000"/>
          <w:right w:val="single" w:sz="12" w:space="4" w:color="C00000"/>
        </w:pBdr>
        <w:ind w:left="-567" w:right="-347"/>
        <w:rPr>
          <w:rFonts w:asciiTheme="majorHAnsi" w:hAnsiTheme="majorHAnsi" w:cstheme="majorHAnsi"/>
          <w:sz w:val="22"/>
          <w:szCs w:val="22"/>
          <w:lang w:val="en-GB"/>
        </w:rPr>
      </w:pPr>
    </w:p>
    <w:p w14:paraId="37BA4CC0" w14:textId="77777777" w:rsidR="00654694" w:rsidRPr="00654694" w:rsidRDefault="00654694" w:rsidP="00654694">
      <w:pPr>
        <w:pStyle w:val="NoSpacing"/>
        <w:pBdr>
          <w:top w:val="single" w:sz="12" w:space="1" w:color="C00000"/>
          <w:left w:val="single" w:sz="12" w:space="4" w:color="C00000"/>
          <w:bottom w:val="single" w:sz="12" w:space="1" w:color="C00000"/>
          <w:right w:val="single" w:sz="12" w:space="4" w:color="C00000"/>
        </w:pBdr>
        <w:ind w:left="-567" w:right="-347"/>
        <w:rPr>
          <w:rFonts w:asciiTheme="majorHAnsi" w:hAnsiTheme="majorHAnsi" w:cstheme="majorHAnsi"/>
          <w:sz w:val="22"/>
          <w:szCs w:val="22"/>
          <w:lang w:val="en-GB"/>
        </w:rPr>
      </w:pPr>
    </w:p>
    <w:p w14:paraId="011F3513" w14:textId="77777777" w:rsidR="00654694" w:rsidRPr="00654694" w:rsidRDefault="00654694" w:rsidP="00654694">
      <w:pPr>
        <w:pStyle w:val="NoSpacing"/>
        <w:pBdr>
          <w:top w:val="single" w:sz="12" w:space="1" w:color="C00000"/>
          <w:left w:val="single" w:sz="12" w:space="4" w:color="C00000"/>
          <w:bottom w:val="single" w:sz="12" w:space="1" w:color="C00000"/>
          <w:right w:val="single" w:sz="12" w:space="4" w:color="C00000"/>
        </w:pBdr>
        <w:ind w:left="-567" w:right="-347"/>
        <w:rPr>
          <w:rFonts w:asciiTheme="majorHAnsi" w:hAnsiTheme="majorHAnsi" w:cstheme="majorHAnsi"/>
          <w:sz w:val="22"/>
          <w:szCs w:val="22"/>
          <w:lang w:val="en-GB"/>
        </w:rPr>
      </w:pPr>
      <w:r w:rsidRPr="00654694">
        <w:rPr>
          <w:rFonts w:asciiTheme="majorHAnsi" w:hAnsiTheme="majorHAnsi" w:cstheme="majorHAnsi"/>
          <w:noProof/>
          <w:sz w:val="22"/>
          <w:szCs w:val="22"/>
          <w:lang w:val="en-GB" w:eastAsia="en-GB"/>
        </w:rPr>
        <w:drawing>
          <wp:inline distT="0" distB="0" distL="0" distR="0" wp14:anchorId="2543CCC8" wp14:editId="3513D4F2">
            <wp:extent cx="5486400" cy="11004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100455"/>
                    </a:xfrm>
                    <a:prstGeom prst="rect">
                      <a:avLst/>
                    </a:prstGeom>
                    <a:noFill/>
                    <a:ln>
                      <a:noFill/>
                    </a:ln>
                    <a:extLst/>
                  </pic:spPr>
                </pic:pic>
              </a:graphicData>
            </a:graphic>
          </wp:inline>
        </w:drawing>
      </w:r>
      <w:r w:rsidRPr="00654694">
        <w:rPr>
          <w:rFonts w:asciiTheme="majorHAnsi" w:hAnsiTheme="majorHAnsi" w:cstheme="majorHAnsi"/>
          <w:noProof/>
          <w:sz w:val="22"/>
          <w:szCs w:val="22"/>
          <w:lang w:val="en-GB" w:eastAsia="en-GB"/>
        </w:rPr>
        <w:drawing>
          <wp:inline distT="0" distB="0" distL="0" distR="0" wp14:anchorId="54DD2769" wp14:editId="433DC105">
            <wp:extent cx="5486400" cy="1143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a:extLst/>
                  </pic:spPr>
                </pic:pic>
              </a:graphicData>
            </a:graphic>
          </wp:inline>
        </w:drawing>
      </w:r>
      <w:r w:rsidRPr="00654694">
        <w:rPr>
          <w:rFonts w:asciiTheme="majorHAnsi" w:hAnsiTheme="majorHAnsi" w:cstheme="majorHAnsi"/>
          <w:noProof/>
          <w:sz w:val="22"/>
          <w:szCs w:val="22"/>
          <w:lang w:val="en-GB" w:eastAsia="en-GB"/>
        </w:rPr>
        <w:drawing>
          <wp:inline distT="0" distB="0" distL="0" distR="0" wp14:anchorId="3322C51E" wp14:editId="57F0E3BE">
            <wp:extent cx="5486400" cy="99631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996315"/>
                    </a:xfrm>
                    <a:prstGeom prst="rect">
                      <a:avLst/>
                    </a:prstGeom>
                    <a:noFill/>
                    <a:ln>
                      <a:noFill/>
                    </a:ln>
                    <a:extLst/>
                  </pic:spPr>
                </pic:pic>
              </a:graphicData>
            </a:graphic>
          </wp:inline>
        </w:drawing>
      </w:r>
      <w:r w:rsidRPr="00654694">
        <w:rPr>
          <w:rFonts w:asciiTheme="majorHAnsi" w:hAnsiTheme="majorHAnsi" w:cstheme="majorHAnsi"/>
          <w:noProof/>
          <w:sz w:val="22"/>
          <w:szCs w:val="22"/>
          <w:lang w:val="en-GB" w:eastAsia="en-GB"/>
        </w:rPr>
        <w:drawing>
          <wp:inline distT="0" distB="0" distL="0" distR="0" wp14:anchorId="4F5DD3AD" wp14:editId="5D8E8404">
            <wp:extent cx="5486400" cy="100266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002665"/>
                    </a:xfrm>
                    <a:prstGeom prst="rect">
                      <a:avLst/>
                    </a:prstGeom>
                    <a:noFill/>
                    <a:ln>
                      <a:noFill/>
                    </a:ln>
                    <a:extLst/>
                  </pic:spPr>
                </pic:pic>
              </a:graphicData>
            </a:graphic>
          </wp:inline>
        </w:drawing>
      </w:r>
      <w:r w:rsidRPr="00654694">
        <w:rPr>
          <w:rFonts w:asciiTheme="majorHAnsi" w:hAnsiTheme="majorHAnsi" w:cstheme="majorHAnsi"/>
          <w:noProof/>
          <w:sz w:val="22"/>
          <w:szCs w:val="22"/>
          <w:lang w:val="en-GB" w:eastAsia="en-GB"/>
        </w:rPr>
        <w:drawing>
          <wp:inline distT="0" distB="0" distL="0" distR="0" wp14:anchorId="3F6B6412" wp14:editId="15EADF7B">
            <wp:extent cx="5486400" cy="12763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276350"/>
                    </a:xfrm>
                    <a:prstGeom prst="rect">
                      <a:avLst/>
                    </a:prstGeom>
                    <a:noFill/>
                    <a:ln>
                      <a:noFill/>
                    </a:ln>
                    <a:extLst/>
                  </pic:spPr>
                </pic:pic>
              </a:graphicData>
            </a:graphic>
          </wp:inline>
        </w:drawing>
      </w:r>
    </w:p>
    <w:p w14:paraId="0B1F710B" w14:textId="77777777" w:rsidR="00654694" w:rsidRPr="00654694" w:rsidRDefault="00654694" w:rsidP="00E104D4">
      <w:pPr>
        <w:pStyle w:val="NoSpacing"/>
        <w:ind w:left="-567" w:right="-347"/>
        <w:rPr>
          <w:rFonts w:asciiTheme="majorHAnsi" w:hAnsiTheme="majorHAnsi" w:cstheme="majorHAnsi"/>
          <w:sz w:val="22"/>
          <w:szCs w:val="22"/>
          <w:lang w:val="en-GB"/>
        </w:rPr>
      </w:pPr>
    </w:p>
    <w:p w14:paraId="1F48F137" w14:textId="77777777" w:rsidR="00937F1E" w:rsidRDefault="00937F1E" w:rsidP="00E104D4">
      <w:pPr>
        <w:pStyle w:val="NoSpacing"/>
        <w:ind w:left="-567" w:right="-347"/>
        <w:rPr>
          <w:rFonts w:asciiTheme="majorHAnsi" w:hAnsiTheme="majorHAnsi" w:cstheme="majorHAnsi"/>
          <w:sz w:val="22"/>
          <w:szCs w:val="22"/>
          <w:lang w:val="en-GB"/>
        </w:rPr>
      </w:pPr>
    </w:p>
    <w:p w14:paraId="4B5EB3CA" w14:textId="5ACE59C4" w:rsidR="00BA620B" w:rsidRPr="00654694" w:rsidRDefault="00154B06" w:rsidP="00E104D4">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lang w:val="en-GB"/>
        </w:rPr>
        <w:t>B</w:t>
      </w:r>
      <w:r w:rsidR="00BA620B" w:rsidRPr="00654694">
        <w:rPr>
          <w:rFonts w:asciiTheme="majorHAnsi" w:hAnsiTheme="majorHAnsi" w:cstheme="majorHAnsi"/>
          <w:sz w:val="22"/>
          <w:szCs w:val="22"/>
          <w:lang w:val="en-GB"/>
        </w:rPr>
        <w:t>ack in PNG</w:t>
      </w:r>
      <w:r w:rsidR="00962FD3" w:rsidRPr="00654694">
        <w:rPr>
          <w:rFonts w:asciiTheme="majorHAnsi" w:hAnsiTheme="majorHAnsi" w:cstheme="majorHAnsi"/>
          <w:sz w:val="22"/>
          <w:szCs w:val="22"/>
          <w:lang w:val="en-GB"/>
        </w:rPr>
        <w:t>,</w:t>
      </w:r>
      <w:r w:rsidR="00BA620B" w:rsidRPr="00654694">
        <w:rPr>
          <w:rFonts w:asciiTheme="majorHAnsi" w:hAnsiTheme="majorHAnsi" w:cstheme="majorHAnsi"/>
          <w:sz w:val="22"/>
          <w:szCs w:val="22"/>
          <w:lang w:val="en-GB"/>
        </w:rPr>
        <w:t xml:space="preserve"> </w:t>
      </w:r>
      <w:r w:rsidR="008F4817" w:rsidRPr="00654694">
        <w:rPr>
          <w:rFonts w:asciiTheme="majorHAnsi" w:hAnsiTheme="majorHAnsi" w:cstheme="majorHAnsi"/>
          <w:sz w:val="22"/>
          <w:szCs w:val="22"/>
          <w:lang w:val="en-GB"/>
        </w:rPr>
        <w:t xml:space="preserve">the </w:t>
      </w:r>
      <w:r w:rsidR="00962FD3" w:rsidRPr="00654694">
        <w:rPr>
          <w:rFonts w:asciiTheme="majorHAnsi" w:hAnsiTheme="majorHAnsi" w:cstheme="majorHAnsi"/>
          <w:sz w:val="22"/>
          <w:szCs w:val="22"/>
          <w:lang w:val="en-GB"/>
        </w:rPr>
        <w:t>chapter organised a meeting between the</w:t>
      </w:r>
      <w:r w:rsidR="00962FD3" w:rsidRPr="00654694">
        <w:rPr>
          <w:rFonts w:asciiTheme="majorHAnsi" w:hAnsiTheme="majorHAnsi" w:cstheme="majorHAnsi"/>
          <w:sz w:val="22"/>
          <w:szCs w:val="22"/>
        </w:rPr>
        <w:t xml:space="preserve"> Forest Authority and </w:t>
      </w:r>
      <w:r w:rsidR="00962FD3" w:rsidRPr="00654694">
        <w:rPr>
          <w:rFonts w:asciiTheme="majorHAnsi" w:hAnsiTheme="majorHAnsi" w:cstheme="majorHAnsi"/>
          <w:sz w:val="22"/>
          <w:szCs w:val="22"/>
          <w:lang w:val="en-GB"/>
        </w:rPr>
        <w:t xml:space="preserve">landowners in </w:t>
      </w:r>
      <w:proofErr w:type="spellStart"/>
      <w:r w:rsidR="00962FD3" w:rsidRPr="00654694">
        <w:rPr>
          <w:rFonts w:asciiTheme="majorHAnsi" w:hAnsiTheme="majorHAnsi" w:cstheme="majorHAnsi"/>
          <w:sz w:val="22"/>
          <w:szCs w:val="22"/>
        </w:rPr>
        <w:t>Leileiyafa</w:t>
      </w:r>
      <w:proofErr w:type="spellEnd"/>
      <w:r w:rsidR="00962FD3" w:rsidRPr="00654694">
        <w:rPr>
          <w:rFonts w:asciiTheme="majorHAnsi" w:hAnsiTheme="majorHAnsi" w:cstheme="majorHAnsi"/>
          <w:sz w:val="22"/>
          <w:szCs w:val="22"/>
        </w:rPr>
        <w:t xml:space="preserve"> and surrounding villages to discuss the mechanics of REDD+</w:t>
      </w:r>
      <w:r w:rsidR="00A8461A" w:rsidRPr="00654694">
        <w:rPr>
          <w:rFonts w:asciiTheme="majorHAnsi" w:hAnsiTheme="majorHAnsi" w:cstheme="majorHAnsi"/>
          <w:sz w:val="22"/>
          <w:szCs w:val="22"/>
        </w:rPr>
        <w:t xml:space="preserve"> and future steps in the region. This opened</w:t>
      </w:r>
      <w:r w:rsidR="00962FD3" w:rsidRPr="00654694">
        <w:rPr>
          <w:rFonts w:asciiTheme="majorHAnsi" w:hAnsiTheme="majorHAnsi" w:cstheme="majorHAnsi"/>
          <w:sz w:val="22"/>
          <w:szCs w:val="22"/>
        </w:rPr>
        <w:t xml:space="preserve"> up key lines of communication that were previously </w:t>
      </w:r>
      <w:r w:rsidR="00823DC3" w:rsidRPr="00654694">
        <w:rPr>
          <w:rFonts w:asciiTheme="majorHAnsi" w:hAnsiTheme="majorHAnsi" w:cstheme="majorHAnsi"/>
          <w:sz w:val="22"/>
          <w:szCs w:val="22"/>
        </w:rPr>
        <w:t>lacking</w:t>
      </w:r>
      <w:r w:rsidR="00A8461A" w:rsidRPr="00654694">
        <w:rPr>
          <w:rFonts w:asciiTheme="majorHAnsi" w:hAnsiTheme="majorHAnsi" w:cstheme="majorHAnsi"/>
          <w:sz w:val="22"/>
          <w:szCs w:val="22"/>
        </w:rPr>
        <w:t>, and will be further monitored by the chapter</w:t>
      </w:r>
      <w:r w:rsidR="00962FD3" w:rsidRPr="00654694">
        <w:rPr>
          <w:rFonts w:asciiTheme="majorHAnsi" w:hAnsiTheme="majorHAnsi" w:cstheme="majorHAnsi"/>
          <w:sz w:val="22"/>
          <w:szCs w:val="22"/>
        </w:rPr>
        <w:t xml:space="preserve">. </w:t>
      </w:r>
      <w:r w:rsidR="00611B87" w:rsidRPr="00654694">
        <w:rPr>
          <w:rFonts w:asciiTheme="majorHAnsi" w:hAnsiTheme="majorHAnsi" w:cstheme="majorHAnsi"/>
          <w:sz w:val="22"/>
          <w:szCs w:val="22"/>
          <w:lang w:val="en-GB"/>
        </w:rPr>
        <w:t>The PAC REDD team are also</w:t>
      </w:r>
      <w:r w:rsidR="00EC5CBD" w:rsidRPr="00654694">
        <w:rPr>
          <w:rFonts w:asciiTheme="majorHAnsi" w:hAnsiTheme="majorHAnsi" w:cstheme="majorHAnsi"/>
          <w:sz w:val="22"/>
          <w:szCs w:val="22"/>
          <w:lang w:val="en-GB"/>
        </w:rPr>
        <w:t xml:space="preserve"> building the capacity of their</w:t>
      </w:r>
      <w:r w:rsidR="00611B87" w:rsidRPr="00654694">
        <w:rPr>
          <w:rFonts w:asciiTheme="majorHAnsi" w:hAnsiTheme="majorHAnsi" w:cstheme="majorHAnsi"/>
          <w:sz w:val="22"/>
          <w:szCs w:val="22"/>
          <w:lang w:val="en-GB"/>
        </w:rPr>
        <w:t xml:space="preserve"> </w:t>
      </w:r>
      <w:hyperlink r:id="rId23" w:history="1">
        <w:r w:rsidR="00611B87" w:rsidRPr="00654694">
          <w:rPr>
            <w:rStyle w:val="Hyperlink"/>
            <w:rFonts w:asciiTheme="majorHAnsi" w:hAnsiTheme="majorHAnsi" w:cstheme="majorHAnsi"/>
            <w:sz w:val="22"/>
            <w:szCs w:val="22"/>
            <w:lang w:val="en-GB"/>
          </w:rPr>
          <w:t>Advocacy and Legal Advice Centre</w:t>
        </w:r>
      </w:hyperlink>
      <w:r w:rsidR="00EC5CBD" w:rsidRPr="00654694">
        <w:rPr>
          <w:rFonts w:asciiTheme="majorHAnsi" w:hAnsiTheme="majorHAnsi" w:cstheme="majorHAnsi"/>
          <w:sz w:val="22"/>
          <w:szCs w:val="22"/>
          <w:lang w:val="en-GB"/>
        </w:rPr>
        <w:t xml:space="preserve"> to receive and process complaints related to REDD+. The centre offers free and confidential advice to victims and witnesses of corruption, </w:t>
      </w:r>
      <w:r w:rsidR="00A8461A" w:rsidRPr="00654694">
        <w:rPr>
          <w:rFonts w:asciiTheme="majorHAnsi" w:hAnsiTheme="majorHAnsi" w:cstheme="majorHAnsi"/>
          <w:sz w:val="22"/>
          <w:szCs w:val="22"/>
          <w:lang w:val="en-GB"/>
        </w:rPr>
        <w:t xml:space="preserve">and offers </w:t>
      </w:r>
      <w:r w:rsidR="00EC5CBD" w:rsidRPr="00654694">
        <w:rPr>
          <w:rFonts w:asciiTheme="majorHAnsi" w:hAnsiTheme="majorHAnsi" w:cstheme="majorHAnsi"/>
          <w:sz w:val="22"/>
          <w:szCs w:val="22"/>
          <w:lang w:val="en-GB"/>
        </w:rPr>
        <w:t xml:space="preserve">solid </w:t>
      </w:r>
      <w:r w:rsidR="00A8461A" w:rsidRPr="00654694">
        <w:rPr>
          <w:rFonts w:asciiTheme="majorHAnsi" w:hAnsiTheme="majorHAnsi" w:cstheme="majorHAnsi"/>
          <w:sz w:val="22"/>
          <w:szCs w:val="22"/>
          <w:lang w:val="en-GB"/>
        </w:rPr>
        <w:t>cases study evident to support</w:t>
      </w:r>
      <w:r w:rsidR="00EC5CBD" w:rsidRPr="00654694">
        <w:rPr>
          <w:rFonts w:asciiTheme="majorHAnsi" w:hAnsiTheme="majorHAnsi" w:cstheme="majorHAnsi"/>
          <w:sz w:val="22"/>
          <w:szCs w:val="22"/>
          <w:lang w:val="en-GB"/>
        </w:rPr>
        <w:t xml:space="preserve"> </w:t>
      </w:r>
      <w:r w:rsidR="00A8461A" w:rsidRPr="00654694">
        <w:rPr>
          <w:rFonts w:asciiTheme="majorHAnsi" w:hAnsiTheme="majorHAnsi" w:cstheme="majorHAnsi"/>
          <w:sz w:val="22"/>
          <w:szCs w:val="22"/>
          <w:lang w:val="en-GB"/>
        </w:rPr>
        <w:t xml:space="preserve">anti-corruption advocacy across the country. </w:t>
      </w:r>
    </w:p>
    <w:p w14:paraId="0EB11CA3" w14:textId="77777777" w:rsidR="0045387D" w:rsidRPr="00654694" w:rsidRDefault="0045387D" w:rsidP="00E104D4">
      <w:pPr>
        <w:pStyle w:val="NoSpacing"/>
        <w:ind w:left="-567" w:right="-347"/>
        <w:rPr>
          <w:rFonts w:asciiTheme="majorHAnsi" w:hAnsiTheme="majorHAnsi" w:cstheme="majorHAnsi"/>
          <w:sz w:val="22"/>
          <w:szCs w:val="22"/>
        </w:rPr>
      </w:pPr>
    </w:p>
    <w:p w14:paraId="2DD979D9" w14:textId="1672AEF2" w:rsidR="004B5D76" w:rsidRPr="00654694" w:rsidRDefault="008F4817" w:rsidP="00E104D4">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The </w:t>
      </w:r>
      <w:r w:rsidR="006E5C54" w:rsidRPr="00654694">
        <w:rPr>
          <w:rFonts w:asciiTheme="majorHAnsi" w:hAnsiTheme="majorHAnsi" w:cstheme="majorHAnsi"/>
          <w:sz w:val="22"/>
          <w:szCs w:val="22"/>
        </w:rPr>
        <w:t xml:space="preserve">TI </w:t>
      </w:r>
      <w:proofErr w:type="gramStart"/>
      <w:r w:rsidRPr="00654694">
        <w:rPr>
          <w:rFonts w:asciiTheme="majorHAnsi" w:hAnsiTheme="majorHAnsi" w:cstheme="majorHAnsi"/>
          <w:sz w:val="22"/>
          <w:szCs w:val="22"/>
        </w:rPr>
        <w:t xml:space="preserve">team </w:t>
      </w:r>
      <w:r w:rsidR="00823DC3" w:rsidRPr="00654694">
        <w:rPr>
          <w:rFonts w:asciiTheme="majorHAnsi" w:hAnsiTheme="majorHAnsi" w:cstheme="majorHAnsi"/>
          <w:sz w:val="22"/>
          <w:szCs w:val="22"/>
        </w:rPr>
        <w:t>in Vietnam</w:t>
      </w:r>
      <w:r w:rsidR="006E5C54" w:rsidRPr="00654694">
        <w:rPr>
          <w:rFonts w:asciiTheme="majorHAnsi" w:hAnsiTheme="majorHAnsi" w:cstheme="majorHAnsi"/>
          <w:sz w:val="22"/>
          <w:szCs w:val="22"/>
        </w:rPr>
        <w:t>, Towards Transparency (TT)</w:t>
      </w:r>
      <w:r w:rsidR="00823DC3" w:rsidRPr="00654694">
        <w:rPr>
          <w:rFonts w:asciiTheme="majorHAnsi" w:hAnsiTheme="majorHAnsi" w:cstheme="majorHAnsi"/>
          <w:sz w:val="22"/>
          <w:szCs w:val="22"/>
        </w:rPr>
        <w:t xml:space="preserve"> are</w:t>
      </w:r>
      <w:proofErr w:type="gramEnd"/>
      <w:r w:rsidR="00823DC3" w:rsidRPr="00654694">
        <w:rPr>
          <w:rFonts w:asciiTheme="majorHAnsi" w:hAnsiTheme="majorHAnsi" w:cstheme="majorHAnsi"/>
          <w:sz w:val="22"/>
          <w:szCs w:val="22"/>
        </w:rPr>
        <w:t xml:space="preserve"> active at the local level also, </w:t>
      </w:r>
      <w:r w:rsidR="00301574" w:rsidRPr="00654694">
        <w:rPr>
          <w:rFonts w:asciiTheme="majorHAnsi" w:hAnsiTheme="majorHAnsi" w:cstheme="majorHAnsi"/>
          <w:sz w:val="22"/>
          <w:szCs w:val="22"/>
        </w:rPr>
        <w:t xml:space="preserve">piloting REDD+ project monitoring </w:t>
      </w:r>
      <w:r w:rsidR="00823DC3" w:rsidRPr="00654694">
        <w:rPr>
          <w:rFonts w:asciiTheme="majorHAnsi" w:hAnsiTheme="majorHAnsi" w:cstheme="majorHAnsi"/>
          <w:sz w:val="22"/>
          <w:szCs w:val="22"/>
        </w:rPr>
        <w:t>tools in the province of Lam Dong. In this instance, however, the chapter was requested to do so by their government. This signals a phenomenal shift in discourse since the PAC REDD project began, when the relevant ministries refused to admit that corruption po</w:t>
      </w:r>
      <w:r w:rsidR="006B0285" w:rsidRPr="00654694">
        <w:rPr>
          <w:rFonts w:asciiTheme="majorHAnsi" w:hAnsiTheme="majorHAnsi" w:cstheme="majorHAnsi"/>
          <w:sz w:val="22"/>
          <w:szCs w:val="22"/>
        </w:rPr>
        <w:t xml:space="preserve">sed a threat to REDD’s success, and took a far more obstructionist approach to </w:t>
      </w:r>
      <w:r w:rsidR="0092367B" w:rsidRPr="00654694">
        <w:rPr>
          <w:rFonts w:asciiTheme="majorHAnsi" w:hAnsiTheme="majorHAnsi" w:cstheme="majorHAnsi"/>
          <w:sz w:val="22"/>
          <w:szCs w:val="22"/>
        </w:rPr>
        <w:t>T</w:t>
      </w:r>
      <w:r w:rsidR="006E5C54" w:rsidRPr="00654694">
        <w:rPr>
          <w:rFonts w:asciiTheme="majorHAnsi" w:hAnsiTheme="majorHAnsi" w:cstheme="majorHAnsi"/>
          <w:sz w:val="22"/>
          <w:szCs w:val="22"/>
        </w:rPr>
        <w:t>T</w:t>
      </w:r>
      <w:r w:rsidR="001D4341">
        <w:rPr>
          <w:rFonts w:asciiTheme="majorHAnsi" w:hAnsiTheme="majorHAnsi" w:cstheme="majorHAnsi"/>
          <w:sz w:val="22"/>
          <w:szCs w:val="22"/>
        </w:rPr>
        <w:t xml:space="preserve"> Vietnam’</w:t>
      </w:r>
      <w:r w:rsidR="0092367B" w:rsidRPr="00654694">
        <w:rPr>
          <w:rFonts w:asciiTheme="majorHAnsi" w:hAnsiTheme="majorHAnsi" w:cstheme="majorHAnsi"/>
          <w:sz w:val="22"/>
          <w:szCs w:val="22"/>
        </w:rPr>
        <w:t>s</w:t>
      </w:r>
      <w:r w:rsidR="006B0285" w:rsidRPr="00654694">
        <w:rPr>
          <w:rFonts w:asciiTheme="majorHAnsi" w:hAnsiTheme="majorHAnsi" w:cstheme="majorHAnsi"/>
          <w:sz w:val="22"/>
          <w:szCs w:val="22"/>
        </w:rPr>
        <w:t xml:space="preserve"> work. </w:t>
      </w:r>
      <w:r w:rsidR="00301574" w:rsidRPr="00654694">
        <w:rPr>
          <w:rFonts w:asciiTheme="majorHAnsi" w:hAnsiTheme="majorHAnsi" w:cstheme="majorHAnsi"/>
          <w:sz w:val="22"/>
          <w:szCs w:val="22"/>
        </w:rPr>
        <w:t>Civil society occupies an extr</w:t>
      </w:r>
      <w:r w:rsidR="0059618F" w:rsidRPr="00654694">
        <w:rPr>
          <w:rFonts w:asciiTheme="majorHAnsi" w:hAnsiTheme="majorHAnsi" w:cstheme="majorHAnsi"/>
          <w:sz w:val="22"/>
          <w:szCs w:val="22"/>
        </w:rPr>
        <w:t xml:space="preserve">emely limited </w:t>
      </w:r>
      <w:r w:rsidR="00A8461A" w:rsidRPr="00654694">
        <w:rPr>
          <w:rFonts w:asciiTheme="majorHAnsi" w:hAnsiTheme="majorHAnsi" w:cstheme="majorHAnsi"/>
          <w:sz w:val="22"/>
          <w:szCs w:val="22"/>
        </w:rPr>
        <w:t xml:space="preserve">space in Vietnam. </w:t>
      </w:r>
      <w:r w:rsidR="0059618F" w:rsidRPr="00654694">
        <w:rPr>
          <w:rFonts w:asciiTheme="majorHAnsi" w:hAnsiTheme="majorHAnsi" w:cstheme="majorHAnsi"/>
          <w:sz w:val="22"/>
          <w:szCs w:val="22"/>
        </w:rPr>
        <w:t>T</w:t>
      </w:r>
      <w:r w:rsidR="00301574" w:rsidRPr="00654694">
        <w:rPr>
          <w:rFonts w:asciiTheme="majorHAnsi" w:hAnsiTheme="majorHAnsi" w:cstheme="majorHAnsi"/>
          <w:sz w:val="22"/>
          <w:szCs w:val="22"/>
        </w:rPr>
        <w:t>he approach of constructive engage</w:t>
      </w:r>
      <w:r w:rsidR="0059618F" w:rsidRPr="00654694">
        <w:rPr>
          <w:rFonts w:asciiTheme="majorHAnsi" w:hAnsiTheme="majorHAnsi" w:cstheme="majorHAnsi"/>
          <w:sz w:val="22"/>
          <w:szCs w:val="22"/>
        </w:rPr>
        <w:t xml:space="preserve">ment pursued by </w:t>
      </w:r>
      <w:r w:rsidR="00595A84" w:rsidRPr="00654694">
        <w:rPr>
          <w:rFonts w:asciiTheme="majorHAnsi" w:hAnsiTheme="majorHAnsi" w:cstheme="majorHAnsi"/>
          <w:sz w:val="22"/>
          <w:szCs w:val="22"/>
        </w:rPr>
        <w:t>TT</w:t>
      </w:r>
      <w:r w:rsidR="0059618F" w:rsidRPr="00654694">
        <w:rPr>
          <w:rFonts w:asciiTheme="majorHAnsi" w:hAnsiTheme="majorHAnsi" w:cstheme="majorHAnsi"/>
          <w:sz w:val="22"/>
          <w:szCs w:val="22"/>
        </w:rPr>
        <w:t xml:space="preserve"> </w:t>
      </w:r>
      <w:r w:rsidR="001D4341">
        <w:rPr>
          <w:rFonts w:asciiTheme="majorHAnsi" w:hAnsiTheme="majorHAnsi" w:cstheme="majorHAnsi"/>
          <w:sz w:val="22"/>
          <w:szCs w:val="22"/>
        </w:rPr>
        <w:t xml:space="preserve">Vietnam </w:t>
      </w:r>
      <w:r w:rsidR="0059618F" w:rsidRPr="00654694">
        <w:rPr>
          <w:rFonts w:asciiTheme="majorHAnsi" w:hAnsiTheme="majorHAnsi" w:cstheme="majorHAnsi"/>
          <w:sz w:val="22"/>
          <w:szCs w:val="22"/>
        </w:rPr>
        <w:t>in the early phases of the project succeeded in forging a number of key strategic relationships with government that have been pivotal f</w:t>
      </w:r>
      <w:r w:rsidR="00595A84" w:rsidRPr="00654694">
        <w:rPr>
          <w:rFonts w:asciiTheme="majorHAnsi" w:hAnsiTheme="majorHAnsi" w:cstheme="majorHAnsi"/>
          <w:sz w:val="22"/>
          <w:szCs w:val="22"/>
        </w:rPr>
        <w:t>or achieving PAC REDD’s aims. They</w:t>
      </w:r>
      <w:r w:rsidR="0059618F" w:rsidRPr="00654694">
        <w:rPr>
          <w:rFonts w:asciiTheme="majorHAnsi" w:hAnsiTheme="majorHAnsi" w:cstheme="majorHAnsi"/>
          <w:sz w:val="22"/>
          <w:szCs w:val="22"/>
        </w:rPr>
        <w:t xml:space="preserve"> were granted a seat on the task force elected to develop </w:t>
      </w:r>
      <w:r w:rsidR="006B0285" w:rsidRPr="00654694">
        <w:rPr>
          <w:rFonts w:asciiTheme="majorHAnsi" w:hAnsiTheme="majorHAnsi" w:cstheme="majorHAnsi"/>
          <w:sz w:val="22"/>
          <w:szCs w:val="22"/>
        </w:rPr>
        <w:t xml:space="preserve">Vietnam’s National </w:t>
      </w:r>
      <w:r w:rsidR="004B5D76" w:rsidRPr="00654694">
        <w:rPr>
          <w:rFonts w:asciiTheme="majorHAnsi" w:hAnsiTheme="majorHAnsi" w:cstheme="majorHAnsi"/>
          <w:sz w:val="22"/>
          <w:szCs w:val="22"/>
        </w:rPr>
        <w:t xml:space="preserve">REDD+ Strategy and Action Plan. Their influence in this forum is demonstrated by the fact that both documents now contain language suggested by TT </w:t>
      </w:r>
      <w:r w:rsidR="001D4341">
        <w:rPr>
          <w:rFonts w:asciiTheme="majorHAnsi" w:hAnsiTheme="majorHAnsi" w:cstheme="majorHAnsi"/>
          <w:sz w:val="22"/>
          <w:szCs w:val="22"/>
        </w:rPr>
        <w:t xml:space="preserve">Vietnam </w:t>
      </w:r>
      <w:r w:rsidR="00595A84" w:rsidRPr="00654694">
        <w:rPr>
          <w:rFonts w:asciiTheme="majorHAnsi" w:hAnsiTheme="majorHAnsi" w:cstheme="majorHAnsi"/>
          <w:sz w:val="22"/>
          <w:szCs w:val="22"/>
        </w:rPr>
        <w:t>aimed at</w:t>
      </w:r>
      <w:r w:rsidR="004B5D76" w:rsidRPr="00654694">
        <w:rPr>
          <w:rFonts w:asciiTheme="majorHAnsi" w:hAnsiTheme="majorHAnsi" w:cstheme="majorHAnsi"/>
          <w:sz w:val="22"/>
          <w:szCs w:val="22"/>
        </w:rPr>
        <w:t xml:space="preserve"> strengthening governance provisions for REDD+ in policy and practice.</w:t>
      </w:r>
    </w:p>
    <w:p w14:paraId="2B4EEFFC" w14:textId="77777777" w:rsidR="0059618F" w:rsidRPr="00654694" w:rsidRDefault="0059618F" w:rsidP="00E104D4">
      <w:pPr>
        <w:pStyle w:val="NoSpacing"/>
        <w:ind w:left="-567" w:right="-347"/>
        <w:rPr>
          <w:rFonts w:asciiTheme="majorHAnsi" w:hAnsiTheme="majorHAnsi" w:cstheme="majorHAnsi"/>
          <w:sz w:val="22"/>
          <w:szCs w:val="22"/>
        </w:rPr>
      </w:pPr>
    </w:p>
    <w:p w14:paraId="375B997D" w14:textId="498F1F33" w:rsidR="00B16A1A" w:rsidRDefault="00DF2E3A" w:rsidP="00B16A1A">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Progress on REDD+ has been more</w:t>
      </w:r>
      <w:r w:rsidR="008F4817" w:rsidRPr="00654694">
        <w:rPr>
          <w:rFonts w:asciiTheme="majorHAnsi" w:hAnsiTheme="majorHAnsi" w:cstheme="majorHAnsi"/>
          <w:sz w:val="22"/>
          <w:szCs w:val="22"/>
        </w:rPr>
        <w:t xml:space="preserve"> sluggish in Indonesia, but the </w:t>
      </w:r>
      <w:r w:rsidRPr="00654694">
        <w:rPr>
          <w:rFonts w:asciiTheme="majorHAnsi" w:hAnsiTheme="majorHAnsi" w:cstheme="majorHAnsi"/>
          <w:sz w:val="22"/>
          <w:szCs w:val="22"/>
        </w:rPr>
        <w:t xml:space="preserve">team there continue to play a key watchdog role over nascent policies and institutions. The ministries of Forestry and Agriculture recently announced their commitment to becoming official Integrity/ Corruption-Free Zones. Keen to ensure that this </w:t>
      </w:r>
      <w:r w:rsidR="00BE1261" w:rsidRPr="00654694">
        <w:rPr>
          <w:rFonts w:asciiTheme="majorHAnsi" w:hAnsiTheme="majorHAnsi" w:cstheme="majorHAnsi"/>
          <w:sz w:val="22"/>
          <w:szCs w:val="22"/>
        </w:rPr>
        <w:t xml:space="preserve">is not an exercise in </w:t>
      </w:r>
      <w:r w:rsidRPr="00654694">
        <w:rPr>
          <w:rFonts w:asciiTheme="majorHAnsi" w:hAnsiTheme="majorHAnsi" w:cstheme="majorHAnsi"/>
          <w:sz w:val="22"/>
          <w:szCs w:val="22"/>
        </w:rPr>
        <w:t>window-dressing</w:t>
      </w:r>
      <w:r w:rsidR="00BE1261" w:rsidRPr="00654694">
        <w:rPr>
          <w:rFonts w:asciiTheme="majorHAnsi" w:hAnsiTheme="majorHAnsi" w:cstheme="majorHAnsi"/>
          <w:sz w:val="22"/>
          <w:szCs w:val="22"/>
        </w:rPr>
        <w:t xml:space="preserve">, TI Indonesia </w:t>
      </w:r>
      <w:proofErr w:type="gramStart"/>
      <w:r w:rsidR="00BE1261" w:rsidRPr="00654694">
        <w:rPr>
          <w:rFonts w:asciiTheme="majorHAnsi" w:hAnsiTheme="majorHAnsi" w:cstheme="majorHAnsi"/>
          <w:sz w:val="22"/>
          <w:szCs w:val="22"/>
        </w:rPr>
        <w:t>are</w:t>
      </w:r>
      <w:proofErr w:type="gramEnd"/>
      <w:r w:rsidR="00BE1261" w:rsidRPr="00654694">
        <w:rPr>
          <w:rFonts w:asciiTheme="majorHAnsi" w:hAnsiTheme="majorHAnsi" w:cstheme="majorHAnsi"/>
          <w:sz w:val="22"/>
          <w:szCs w:val="22"/>
        </w:rPr>
        <w:t xml:space="preserve"> advising the ministries on how to translate their pledges to a robust </w:t>
      </w:r>
      <w:proofErr w:type="spellStart"/>
      <w:r w:rsidR="00BE1261" w:rsidRPr="00654694">
        <w:rPr>
          <w:rFonts w:asciiTheme="majorHAnsi" w:hAnsiTheme="majorHAnsi" w:cstheme="majorHAnsi"/>
          <w:sz w:val="22"/>
          <w:szCs w:val="22"/>
        </w:rPr>
        <w:t>programme</w:t>
      </w:r>
      <w:proofErr w:type="spellEnd"/>
      <w:r w:rsidR="00BE1261" w:rsidRPr="00654694">
        <w:rPr>
          <w:rFonts w:asciiTheme="majorHAnsi" w:hAnsiTheme="majorHAnsi" w:cstheme="majorHAnsi"/>
          <w:sz w:val="22"/>
          <w:szCs w:val="22"/>
        </w:rPr>
        <w:t xml:space="preserve"> of action. REDD+ finance monitoring is also a key priority for the chapter as the project enters its second phase. PAC REDD has been </w:t>
      </w:r>
      <w:r w:rsidRPr="00654694">
        <w:rPr>
          <w:rFonts w:asciiTheme="majorHAnsi" w:hAnsiTheme="majorHAnsi" w:cstheme="majorHAnsi"/>
          <w:sz w:val="22"/>
          <w:szCs w:val="22"/>
        </w:rPr>
        <w:t xml:space="preserve">staunchly advocating for sounder governance arrangements in the country’s new </w:t>
      </w:r>
      <w:r w:rsidRPr="00654694">
        <w:rPr>
          <w:rFonts w:asciiTheme="majorHAnsi" w:hAnsiTheme="majorHAnsi" w:cstheme="majorHAnsi"/>
          <w:i/>
          <w:sz w:val="22"/>
          <w:szCs w:val="22"/>
        </w:rPr>
        <w:t>Fund for REDD+ Indonesia</w:t>
      </w:r>
      <w:r w:rsidRPr="00654694">
        <w:rPr>
          <w:rFonts w:asciiTheme="majorHAnsi" w:hAnsiTheme="majorHAnsi" w:cstheme="majorHAnsi"/>
          <w:sz w:val="22"/>
          <w:szCs w:val="22"/>
        </w:rPr>
        <w:t xml:space="preserve"> (FREDDI), and have constructed a community of practice around monitoring the fund’s activities, with a dedicated Facebook page for knowledge exchange. </w:t>
      </w:r>
      <w:r w:rsidR="00FA4B32" w:rsidRPr="00654694">
        <w:rPr>
          <w:rFonts w:asciiTheme="majorHAnsi" w:hAnsiTheme="majorHAnsi" w:cstheme="majorHAnsi"/>
          <w:sz w:val="22"/>
          <w:szCs w:val="22"/>
        </w:rPr>
        <w:t xml:space="preserve">The chapter then channels this data upwards, to KPK </w:t>
      </w:r>
      <w:r w:rsidRPr="00654694">
        <w:rPr>
          <w:rFonts w:asciiTheme="majorHAnsi" w:hAnsiTheme="majorHAnsi" w:cstheme="majorHAnsi"/>
          <w:sz w:val="22"/>
          <w:szCs w:val="22"/>
        </w:rPr>
        <w:t>(</w:t>
      </w:r>
      <w:r w:rsidR="00FA4B32" w:rsidRPr="00654694">
        <w:rPr>
          <w:rFonts w:asciiTheme="majorHAnsi" w:hAnsiTheme="majorHAnsi" w:cstheme="majorHAnsi"/>
          <w:sz w:val="22"/>
          <w:szCs w:val="22"/>
        </w:rPr>
        <w:t xml:space="preserve">the </w:t>
      </w:r>
      <w:r w:rsidRPr="00654694">
        <w:rPr>
          <w:rFonts w:asciiTheme="majorHAnsi" w:hAnsiTheme="majorHAnsi" w:cstheme="majorHAnsi"/>
          <w:sz w:val="22"/>
          <w:szCs w:val="22"/>
        </w:rPr>
        <w:t xml:space="preserve">Corruption Eradication Commission) and the National REDD Task Force, </w:t>
      </w:r>
      <w:r w:rsidR="00FA4B32" w:rsidRPr="00654694">
        <w:rPr>
          <w:rFonts w:asciiTheme="majorHAnsi" w:hAnsiTheme="majorHAnsi" w:cstheme="majorHAnsi"/>
          <w:sz w:val="22"/>
          <w:szCs w:val="22"/>
        </w:rPr>
        <w:t xml:space="preserve">with </w:t>
      </w:r>
      <w:r w:rsidRPr="00654694">
        <w:rPr>
          <w:rFonts w:asciiTheme="majorHAnsi" w:hAnsiTheme="majorHAnsi" w:cstheme="majorHAnsi"/>
          <w:sz w:val="22"/>
          <w:szCs w:val="22"/>
        </w:rPr>
        <w:t>who</w:t>
      </w:r>
      <w:r w:rsidR="00FA4B32" w:rsidRPr="00654694">
        <w:rPr>
          <w:rFonts w:asciiTheme="majorHAnsi" w:hAnsiTheme="majorHAnsi" w:cstheme="majorHAnsi"/>
          <w:sz w:val="22"/>
          <w:szCs w:val="22"/>
        </w:rPr>
        <w:t xml:space="preserve">m they have regular and frank dialogue on the current and next </w:t>
      </w:r>
      <w:r w:rsidR="00B16A1A">
        <w:rPr>
          <w:rFonts w:asciiTheme="majorHAnsi" w:hAnsiTheme="majorHAnsi" w:cstheme="majorHAnsi"/>
          <w:sz w:val="22"/>
          <w:szCs w:val="22"/>
        </w:rPr>
        <w:t>steps for REDD+ in the country.</w:t>
      </w:r>
    </w:p>
    <w:p w14:paraId="05B7C20B" w14:textId="77777777" w:rsidR="00416545" w:rsidRDefault="00416545" w:rsidP="00B16A1A">
      <w:pPr>
        <w:pStyle w:val="NoSpacing"/>
        <w:ind w:left="-567" w:right="-347"/>
        <w:rPr>
          <w:rFonts w:asciiTheme="majorHAnsi" w:hAnsiTheme="majorHAnsi" w:cstheme="majorHAnsi"/>
          <w:sz w:val="22"/>
          <w:szCs w:val="22"/>
        </w:rPr>
      </w:pPr>
    </w:p>
    <w:p w14:paraId="759BE4A1" w14:textId="5F7461AB" w:rsidR="00416545" w:rsidRDefault="00416545" w:rsidP="00B16A1A">
      <w:pPr>
        <w:pStyle w:val="NoSpacing"/>
        <w:ind w:left="-567" w:right="-347"/>
        <w:rPr>
          <w:rFonts w:asciiTheme="majorHAnsi" w:hAnsiTheme="majorHAnsi" w:cstheme="majorHAnsi"/>
          <w:sz w:val="22"/>
          <w:szCs w:val="22"/>
        </w:rPr>
      </w:pPr>
      <w:r>
        <w:rPr>
          <w:rFonts w:asciiTheme="majorHAnsi" w:hAnsiTheme="majorHAnsi" w:cstheme="majorHAnsi"/>
          <w:sz w:val="22"/>
          <w:szCs w:val="22"/>
        </w:rPr>
        <w:t xml:space="preserve">These experiences in-country have provided an important cache of case studies of good and bad practice that TI has used in its advocacy efforts on the international stage – showcased at the Conference of Parties, and a series of capacity building events organized by, for example, </w:t>
      </w:r>
      <w:r w:rsidRPr="00382F5E">
        <w:rPr>
          <w:rFonts w:ascii="Corbel" w:hAnsi="Corbel"/>
          <w:sz w:val="22"/>
          <w:szCs w:val="22"/>
        </w:rPr>
        <w:t>UN-REDD/UNDP</w:t>
      </w:r>
      <w:r>
        <w:rPr>
          <w:rFonts w:ascii="Corbel" w:hAnsi="Corbel"/>
          <w:sz w:val="22"/>
          <w:szCs w:val="22"/>
        </w:rPr>
        <w:t xml:space="preserve">, </w:t>
      </w:r>
      <w:r w:rsidRPr="00382F5E">
        <w:rPr>
          <w:rFonts w:ascii="Corbel" w:hAnsi="Corbel"/>
          <w:sz w:val="22"/>
          <w:szCs w:val="22"/>
        </w:rPr>
        <w:t>EU FLEGT</w:t>
      </w:r>
      <w:r>
        <w:rPr>
          <w:rFonts w:ascii="Corbel" w:hAnsi="Corbel"/>
          <w:sz w:val="22"/>
          <w:szCs w:val="22"/>
        </w:rPr>
        <w:t>,</w:t>
      </w:r>
      <w:r w:rsidRPr="00382F5E">
        <w:rPr>
          <w:rFonts w:ascii="Corbel" w:hAnsi="Corbel"/>
          <w:sz w:val="22"/>
          <w:szCs w:val="22"/>
        </w:rPr>
        <w:t xml:space="preserve"> </w:t>
      </w:r>
      <w:r>
        <w:rPr>
          <w:rFonts w:ascii="Corbel" w:hAnsi="Corbel"/>
          <w:sz w:val="22"/>
          <w:szCs w:val="22"/>
        </w:rPr>
        <w:t xml:space="preserve">CIFOR and GIZ. The </w:t>
      </w:r>
      <w:r w:rsidRPr="00416545">
        <w:rPr>
          <w:rFonts w:ascii="Corbel" w:hAnsi="Corbel"/>
          <w:i/>
          <w:sz w:val="22"/>
          <w:szCs w:val="22"/>
        </w:rPr>
        <w:t>Keeping REDD+ clean</w:t>
      </w:r>
      <w:r>
        <w:rPr>
          <w:rFonts w:ascii="Corbel" w:hAnsi="Corbel"/>
          <w:sz w:val="22"/>
          <w:szCs w:val="22"/>
        </w:rPr>
        <w:t xml:space="preserve"> manual in </w:t>
      </w:r>
      <w:proofErr w:type="gramStart"/>
      <w:r>
        <w:rPr>
          <w:rFonts w:ascii="Corbel" w:hAnsi="Corbel"/>
          <w:sz w:val="22"/>
          <w:szCs w:val="22"/>
        </w:rPr>
        <w:t>particular  has</w:t>
      </w:r>
      <w:proofErr w:type="gramEnd"/>
      <w:r>
        <w:rPr>
          <w:rFonts w:ascii="Corbel" w:hAnsi="Corbel"/>
          <w:sz w:val="22"/>
          <w:szCs w:val="22"/>
        </w:rPr>
        <w:t xml:space="preserve"> </w:t>
      </w:r>
      <w:r w:rsidR="00345DC3">
        <w:rPr>
          <w:rFonts w:ascii="Corbel" w:hAnsi="Corbel"/>
          <w:sz w:val="22"/>
          <w:szCs w:val="22"/>
        </w:rPr>
        <w:t xml:space="preserve">received good exposure in international forums and online. This has </w:t>
      </w:r>
      <w:r>
        <w:rPr>
          <w:rFonts w:ascii="Corbel" w:hAnsi="Corbel"/>
          <w:sz w:val="22"/>
          <w:szCs w:val="22"/>
        </w:rPr>
        <w:t xml:space="preserve">helped TI </w:t>
      </w:r>
      <w:proofErr w:type="spellStart"/>
      <w:r>
        <w:rPr>
          <w:rFonts w:ascii="Corbel" w:hAnsi="Corbel"/>
          <w:sz w:val="22"/>
          <w:szCs w:val="22"/>
        </w:rPr>
        <w:t>galvanise</w:t>
      </w:r>
      <w:proofErr w:type="spellEnd"/>
      <w:r>
        <w:rPr>
          <w:rFonts w:ascii="Corbel" w:hAnsi="Corbel"/>
          <w:sz w:val="22"/>
          <w:szCs w:val="22"/>
        </w:rPr>
        <w:t xml:space="preserve"> support and input from international </w:t>
      </w:r>
      <w:r w:rsidR="00345DC3">
        <w:rPr>
          <w:rFonts w:ascii="Corbel" w:hAnsi="Corbel"/>
          <w:sz w:val="22"/>
          <w:szCs w:val="22"/>
        </w:rPr>
        <w:t xml:space="preserve">partner </w:t>
      </w:r>
      <w:proofErr w:type="spellStart"/>
      <w:r>
        <w:rPr>
          <w:rFonts w:ascii="Corbel" w:hAnsi="Corbel"/>
          <w:sz w:val="22"/>
          <w:szCs w:val="22"/>
        </w:rPr>
        <w:t>organisations</w:t>
      </w:r>
      <w:proofErr w:type="spellEnd"/>
      <w:r w:rsidR="00345DC3">
        <w:rPr>
          <w:rFonts w:ascii="Corbel" w:hAnsi="Corbel"/>
          <w:sz w:val="22"/>
          <w:szCs w:val="22"/>
        </w:rPr>
        <w:t>,</w:t>
      </w:r>
      <w:r>
        <w:rPr>
          <w:rFonts w:ascii="Corbel" w:hAnsi="Corbel"/>
          <w:sz w:val="22"/>
          <w:szCs w:val="22"/>
        </w:rPr>
        <w:t xml:space="preserve"> which has in turn </w:t>
      </w:r>
      <w:r w:rsidR="00345DC3">
        <w:rPr>
          <w:rFonts w:ascii="Corbel" w:hAnsi="Corbel"/>
          <w:sz w:val="22"/>
          <w:szCs w:val="22"/>
        </w:rPr>
        <w:t xml:space="preserve">strengthened </w:t>
      </w:r>
      <w:r w:rsidR="000534E8">
        <w:rPr>
          <w:rFonts w:ascii="Corbel" w:hAnsi="Corbel"/>
          <w:sz w:val="22"/>
          <w:szCs w:val="22"/>
        </w:rPr>
        <w:t>kn</w:t>
      </w:r>
      <w:r w:rsidR="00345DC3">
        <w:rPr>
          <w:rFonts w:ascii="Corbel" w:hAnsi="Corbel"/>
          <w:sz w:val="22"/>
          <w:szCs w:val="22"/>
        </w:rPr>
        <w:t xml:space="preserve">owledge exchange and relationship-building </w:t>
      </w:r>
      <w:r w:rsidR="000534E8">
        <w:rPr>
          <w:rFonts w:ascii="Corbel" w:hAnsi="Corbel"/>
          <w:sz w:val="22"/>
          <w:szCs w:val="22"/>
        </w:rPr>
        <w:t xml:space="preserve">in the three project countries. </w:t>
      </w:r>
    </w:p>
    <w:p w14:paraId="789EDD03" w14:textId="77777777" w:rsidR="00416545" w:rsidRDefault="00416545" w:rsidP="00B16A1A">
      <w:pPr>
        <w:pStyle w:val="NoSpacing"/>
        <w:ind w:left="-567" w:right="-347"/>
        <w:rPr>
          <w:rFonts w:asciiTheme="majorHAnsi" w:hAnsiTheme="majorHAnsi" w:cstheme="majorHAnsi"/>
          <w:sz w:val="22"/>
          <w:szCs w:val="22"/>
        </w:rPr>
      </w:pPr>
    </w:p>
    <w:p w14:paraId="64260411" w14:textId="77777777" w:rsidR="00B16A1A" w:rsidRDefault="00B16A1A" w:rsidP="00B16A1A">
      <w:pPr>
        <w:pStyle w:val="NoSpacing"/>
        <w:ind w:left="-567" w:right="-347"/>
        <w:rPr>
          <w:rFonts w:asciiTheme="majorHAnsi" w:hAnsiTheme="majorHAnsi" w:cstheme="majorHAnsi"/>
          <w:sz w:val="22"/>
          <w:szCs w:val="22"/>
        </w:rPr>
      </w:pPr>
    </w:p>
    <w:p w14:paraId="63BA107F" w14:textId="646C1479" w:rsidR="00F5390D" w:rsidRPr="00654694" w:rsidRDefault="00F5390D" w:rsidP="00F5390D">
      <w:pPr>
        <w:pStyle w:val="NoSpacing"/>
        <w:pBdr>
          <w:bottom w:val="single" w:sz="12" w:space="1" w:color="0070C0"/>
        </w:pBdr>
        <w:ind w:left="-567" w:right="-347"/>
        <w:rPr>
          <w:rFonts w:asciiTheme="majorHAnsi" w:hAnsiTheme="majorHAnsi" w:cstheme="majorHAnsi"/>
          <w:b/>
          <w:color w:val="0070C0"/>
          <w:sz w:val="22"/>
          <w:szCs w:val="22"/>
        </w:rPr>
      </w:pPr>
      <w:r>
        <w:rPr>
          <w:rFonts w:asciiTheme="majorHAnsi" w:hAnsiTheme="majorHAnsi" w:cstheme="majorHAnsi"/>
          <w:b/>
          <w:color w:val="0070C0"/>
          <w:sz w:val="22"/>
          <w:szCs w:val="22"/>
        </w:rPr>
        <w:t>Lessons learned</w:t>
      </w:r>
      <w:r w:rsidRPr="00654694">
        <w:rPr>
          <w:rFonts w:asciiTheme="majorHAnsi" w:hAnsiTheme="majorHAnsi" w:cstheme="majorHAnsi"/>
          <w:b/>
          <w:color w:val="0070C0"/>
          <w:sz w:val="22"/>
          <w:szCs w:val="22"/>
        </w:rPr>
        <w:t>:</w:t>
      </w:r>
    </w:p>
    <w:p w14:paraId="3F64B53F" w14:textId="77777777" w:rsidR="006E5C54" w:rsidRPr="00654694" w:rsidRDefault="006E5C54" w:rsidP="006E5C54">
      <w:pPr>
        <w:pStyle w:val="NoSpacing"/>
        <w:ind w:left="-567" w:right="-347"/>
        <w:rPr>
          <w:rFonts w:asciiTheme="majorHAnsi" w:hAnsiTheme="majorHAnsi" w:cstheme="majorHAnsi"/>
          <w:sz w:val="22"/>
          <w:szCs w:val="22"/>
        </w:rPr>
      </w:pPr>
    </w:p>
    <w:p w14:paraId="65E470FB" w14:textId="416A0ECF" w:rsidR="00385502" w:rsidRPr="00654694" w:rsidRDefault="00D2020F" w:rsidP="00137EBE">
      <w:pPr>
        <w:pStyle w:val="NoSpacing"/>
        <w:ind w:left="-567" w:right="-347"/>
        <w:rPr>
          <w:rFonts w:asciiTheme="majorHAnsi" w:hAnsiTheme="majorHAnsi" w:cstheme="majorHAnsi"/>
          <w:sz w:val="22"/>
          <w:szCs w:val="22"/>
        </w:rPr>
      </w:pPr>
      <w:r w:rsidRPr="00654694">
        <w:rPr>
          <w:rFonts w:asciiTheme="majorHAnsi" w:hAnsiTheme="majorHAnsi" w:cstheme="majorHAnsi"/>
          <w:b/>
          <w:sz w:val="22"/>
          <w:szCs w:val="22"/>
        </w:rPr>
        <w:t xml:space="preserve">Looking back to move forward </w:t>
      </w:r>
    </w:p>
    <w:p w14:paraId="18736B7A" w14:textId="77777777" w:rsidR="000F2B12" w:rsidRPr="00654694" w:rsidRDefault="000F2B12" w:rsidP="000F2B12">
      <w:pPr>
        <w:pStyle w:val="NoSpacing"/>
        <w:ind w:left="-567" w:right="-347"/>
        <w:rPr>
          <w:rFonts w:asciiTheme="majorHAnsi" w:hAnsiTheme="majorHAnsi" w:cstheme="majorHAnsi"/>
          <w:sz w:val="22"/>
          <w:szCs w:val="22"/>
        </w:rPr>
      </w:pPr>
    </w:p>
    <w:p w14:paraId="28B5A0DC" w14:textId="624E6362" w:rsidR="00357F39" w:rsidRPr="00654694" w:rsidRDefault="00137EBE" w:rsidP="000F2B12">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 xml:space="preserve">At </w:t>
      </w:r>
      <w:r w:rsidR="008F4817" w:rsidRPr="00654694">
        <w:rPr>
          <w:rFonts w:asciiTheme="majorHAnsi" w:hAnsiTheme="majorHAnsi" w:cstheme="majorHAnsi"/>
          <w:sz w:val="22"/>
          <w:szCs w:val="22"/>
        </w:rPr>
        <w:t xml:space="preserve">TI’s </w:t>
      </w:r>
      <w:r w:rsidRPr="00654694">
        <w:rPr>
          <w:rFonts w:asciiTheme="majorHAnsi" w:hAnsiTheme="majorHAnsi" w:cstheme="majorHAnsi"/>
          <w:sz w:val="22"/>
          <w:szCs w:val="22"/>
        </w:rPr>
        <w:t>recent Climate Finance Integrity Talk in Bangkok</w:t>
      </w:r>
      <w:r w:rsidR="00EF1B6B" w:rsidRPr="00654694">
        <w:rPr>
          <w:rFonts w:asciiTheme="majorHAnsi" w:hAnsiTheme="majorHAnsi" w:cstheme="majorHAnsi"/>
          <w:sz w:val="22"/>
          <w:szCs w:val="22"/>
        </w:rPr>
        <w:t>,</w:t>
      </w:r>
      <w:r w:rsidRPr="00654694">
        <w:rPr>
          <w:rFonts w:asciiTheme="majorHAnsi" w:hAnsiTheme="majorHAnsi" w:cstheme="majorHAnsi"/>
          <w:sz w:val="22"/>
          <w:szCs w:val="22"/>
        </w:rPr>
        <w:t xml:space="preserve"> a panelist from Indonesia’s REDD+ Task Force commented on the important convening role that TI Indonesia is playing in the cou</w:t>
      </w:r>
      <w:r w:rsidR="00EF1B6B" w:rsidRPr="00654694">
        <w:rPr>
          <w:rFonts w:asciiTheme="majorHAnsi" w:hAnsiTheme="majorHAnsi" w:cstheme="majorHAnsi"/>
          <w:sz w:val="22"/>
          <w:szCs w:val="22"/>
        </w:rPr>
        <w:t>ntry. The chapter b</w:t>
      </w:r>
      <w:r w:rsidR="00131CC3" w:rsidRPr="00654694">
        <w:rPr>
          <w:rFonts w:asciiTheme="majorHAnsi" w:hAnsiTheme="majorHAnsi" w:cstheme="majorHAnsi"/>
          <w:sz w:val="22"/>
          <w:szCs w:val="22"/>
        </w:rPr>
        <w:t xml:space="preserve">rought together a broad mix of REDD-relevant </w:t>
      </w:r>
      <w:r w:rsidR="002339BF" w:rsidRPr="00654694">
        <w:rPr>
          <w:rFonts w:asciiTheme="majorHAnsi" w:hAnsiTheme="majorHAnsi" w:cstheme="majorHAnsi"/>
          <w:sz w:val="22"/>
          <w:szCs w:val="22"/>
        </w:rPr>
        <w:t xml:space="preserve">groups for a series of </w:t>
      </w:r>
      <w:r w:rsidRPr="00654694">
        <w:rPr>
          <w:rFonts w:asciiTheme="majorHAnsi" w:hAnsiTheme="majorHAnsi" w:cstheme="majorHAnsi"/>
          <w:sz w:val="22"/>
          <w:szCs w:val="22"/>
        </w:rPr>
        <w:t>workshop</w:t>
      </w:r>
      <w:r w:rsidR="002339BF" w:rsidRPr="00654694">
        <w:rPr>
          <w:rFonts w:asciiTheme="majorHAnsi" w:hAnsiTheme="majorHAnsi" w:cstheme="majorHAnsi"/>
          <w:sz w:val="22"/>
          <w:szCs w:val="22"/>
        </w:rPr>
        <w:t>s</w:t>
      </w:r>
      <w:r w:rsidRPr="00654694">
        <w:rPr>
          <w:rFonts w:asciiTheme="majorHAnsi" w:hAnsiTheme="majorHAnsi" w:cstheme="majorHAnsi"/>
          <w:sz w:val="22"/>
          <w:szCs w:val="22"/>
        </w:rPr>
        <w:t xml:space="preserve"> on Indon</w:t>
      </w:r>
      <w:r w:rsidR="002339BF" w:rsidRPr="00654694">
        <w:rPr>
          <w:rFonts w:asciiTheme="majorHAnsi" w:hAnsiTheme="majorHAnsi" w:cstheme="majorHAnsi"/>
          <w:sz w:val="22"/>
          <w:szCs w:val="22"/>
        </w:rPr>
        <w:t>esia’s National REDD+ S</w:t>
      </w:r>
      <w:r w:rsidR="008F4817" w:rsidRPr="00654694">
        <w:rPr>
          <w:rFonts w:asciiTheme="majorHAnsi" w:hAnsiTheme="majorHAnsi" w:cstheme="majorHAnsi"/>
          <w:sz w:val="22"/>
          <w:szCs w:val="22"/>
        </w:rPr>
        <w:t xml:space="preserve">trategy. </w:t>
      </w:r>
      <w:r w:rsidR="00C6196D" w:rsidRPr="00654694">
        <w:rPr>
          <w:rFonts w:asciiTheme="majorHAnsi" w:hAnsiTheme="majorHAnsi" w:cstheme="majorHAnsi"/>
          <w:sz w:val="22"/>
          <w:szCs w:val="22"/>
        </w:rPr>
        <w:t>H</w:t>
      </w:r>
      <w:r w:rsidR="002339BF" w:rsidRPr="00654694">
        <w:rPr>
          <w:rFonts w:asciiTheme="majorHAnsi" w:hAnsiTheme="majorHAnsi" w:cstheme="majorHAnsi"/>
          <w:sz w:val="22"/>
          <w:szCs w:val="22"/>
        </w:rPr>
        <w:t xml:space="preserve">ad it not been for TI Indonesia’s mediating role, </w:t>
      </w:r>
      <w:r w:rsidR="00C6196D" w:rsidRPr="00654694">
        <w:rPr>
          <w:rFonts w:asciiTheme="majorHAnsi" w:hAnsiTheme="majorHAnsi" w:cstheme="majorHAnsi"/>
          <w:sz w:val="22"/>
          <w:szCs w:val="22"/>
        </w:rPr>
        <w:t xml:space="preserve">said the Task Force representative, </w:t>
      </w:r>
      <w:r w:rsidR="002339BF" w:rsidRPr="00654694">
        <w:rPr>
          <w:rFonts w:asciiTheme="majorHAnsi" w:hAnsiTheme="majorHAnsi" w:cstheme="majorHAnsi"/>
          <w:sz w:val="22"/>
          <w:szCs w:val="22"/>
        </w:rPr>
        <w:t xml:space="preserve">participants would not have felt comfortable </w:t>
      </w:r>
      <w:r w:rsidR="00C6196D" w:rsidRPr="00654694">
        <w:rPr>
          <w:rFonts w:asciiTheme="majorHAnsi" w:hAnsiTheme="majorHAnsi" w:cstheme="majorHAnsi"/>
          <w:sz w:val="22"/>
          <w:szCs w:val="22"/>
        </w:rPr>
        <w:t xml:space="preserve">openly articulating </w:t>
      </w:r>
      <w:r w:rsidR="002339BF" w:rsidRPr="00654694">
        <w:rPr>
          <w:rFonts w:asciiTheme="majorHAnsi" w:hAnsiTheme="majorHAnsi" w:cstheme="majorHAnsi"/>
          <w:sz w:val="22"/>
          <w:szCs w:val="22"/>
        </w:rPr>
        <w:t xml:space="preserve">their criticism and concerns, which allowed the Task Force to reorient their strategic direction accordingly.  </w:t>
      </w:r>
    </w:p>
    <w:p w14:paraId="357EB4C8" w14:textId="77777777" w:rsidR="00131CC3" w:rsidRPr="00654694" w:rsidRDefault="00131CC3" w:rsidP="00131CC3">
      <w:pPr>
        <w:pStyle w:val="NoSpacing"/>
        <w:ind w:left="-567" w:right="-347"/>
        <w:rPr>
          <w:rFonts w:asciiTheme="majorHAnsi" w:hAnsiTheme="majorHAnsi" w:cstheme="majorHAnsi"/>
          <w:sz w:val="22"/>
          <w:szCs w:val="22"/>
        </w:rPr>
      </w:pPr>
    </w:p>
    <w:p w14:paraId="230AC67A" w14:textId="24F881CE" w:rsidR="000F2B12" w:rsidRPr="00654694" w:rsidRDefault="00131CC3" w:rsidP="000F2B12">
      <w:pPr>
        <w:pStyle w:val="NoSpacing"/>
        <w:ind w:left="-567" w:right="-347"/>
        <w:rPr>
          <w:rFonts w:asciiTheme="majorHAnsi" w:hAnsiTheme="majorHAnsi" w:cstheme="majorHAnsi"/>
          <w:sz w:val="22"/>
          <w:szCs w:val="22"/>
        </w:rPr>
      </w:pPr>
      <w:r w:rsidRPr="00654694">
        <w:rPr>
          <w:rFonts w:asciiTheme="majorHAnsi" w:hAnsiTheme="majorHAnsi" w:cstheme="majorHAnsi"/>
          <w:sz w:val="22"/>
          <w:szCs w:val="22"/>
        </w:rPr>
        <w:t>Throughout the c</w:t>
      </w:r>
      <w:r w:rsidR="00595A84" w:rsidRPr="00654694">
        <w:rPr>
          <w:rFonts w:asciiTheme="majorHAnsi" w:hAnsiTheme="majorHAnsi" w:cstheme="majorHAnsi"/>
          <w:sz w:val="22"/>
          <w:szCs w:val="22"/>
        </w:rPr>
        <w:t xml:space="preserve">ourse of the PAC REDD project </w:t>
      </w:r>
      <w:r w:rsidR="008F4817" w:rsidRPr="00654694">
        <w:rPr>
          <w:rFonts w:asciiTheme="majorHAnsi" w:hAnsiTheme="majorHAnsi" w:cstheme="majorHAnsi"/>
          <w:sz w:val="22"/>
          <w:szCs w:val="22"/>
        </w:rPr>
        <w:t>the team has</w:t>
      </w:r>
      <w:r w:rsidRPr="00654694">
        <w:rPr>
          <w:rFonts w:asciiTheme="majorHAnsi" w:hAnsiTheme="majorHAnsi" w:cstheme="majorHAnsi"/>
          <w:sz w:val="22"/>
          <w:szCs w:val="22"/>
        </w:rPr>
        <w:t xml:space="preserve"> come to </w:t>
      </w:r>
      <w:proofErr w:type="spellStart"/>
      <w:r w:rsidR="00ED5CCF" w:rsidRPr="00654694">
        <w:rPr>
          <w:rFonts w:asciiTheme="majorHAnsi" w:hAnsiTheme="majorHAnsi" w:cstheme="majorHAnsi"/>
          <w:sz w:val="22"/>
          <w:szCs w:val="22"/>
        </w:rPr>
        <w:t>realise</w:t>
      </w:r>
      <w:proofErr w:type="spellEnd"/>
      <w:r w:rsidR="008F4817" w:rsidRPr="00654694">
        <w:rPr>
          <w:rFonts w:asciiTheme="majorHAnsi" w:hAnsiTheme="majorHAnsi" w:cstheme="majorHAnsi"/>
          <w:sz w:val="22"/>
          <w:szCs w:val="22"/>
        </w:rPr>
        <w:t xml:space="preserve"> where its</w:t>
      </w:r>
      <w:r w:rsidRPr="00654694">
        <w:rPr>
          <w:rFonts w:asciiTheme="majorHAnsi" w:hAnsiTheme="majorHAnsi" w:cstheme="majorHAnsi"/>
          <w:sz w:val="22"/>
          <w:szCs w:val="22"/>
        </w:rPr>
        <w:t xml:space="preserve"> input is most valuable – at the intersection of policy-makers and grassroots </w:t>
      </w:r>
      <w:proofErr w:type="spellStart"/>
      <w:r w:rsidRPr="00654694">
        <w:rPr>
          <w:rFonts w:asciiTheme="majorHAnsi" w:hAnsiTheme="majorHAnsi" w:cstheme="majorHAnsi"/>
          <w:sz w:val="22"/>
          <w:szCs w:val="22"/>
        </w:rPr>
        <w:t>organisations</w:t>
      </w:r>
      <w:proofErr w:type="spellEnd"/>
      <w:r w:rsidRPr="00654694">
        <w:rPr>
          <w:rFonts w:asciiTheme="majorHAnsi" w:hAnsiTheme="majorHAnsi" w:cstheme="majorHAnsi"/>
          <w:sz w:val="22"/>
          <w:szCs w:val="22"/>
        </w:rPr>
        <w:t xml:space="preserve"> that might otherwise go unheard in decision-making </w:t>
      </w:r>
      <w:proofErr w:type="spellStart"/>
      <w:r w:rsidRPr="00654694">
        <w:rPr>
          <w:rFonts w:asciiTheme="majorHAnsi" w:hAnsiTheme="majorHAnsi" w:cstheme="majorHAnsi"/>
          <w:sz w:val="22"/>
          <w:szCs w:val="22"/>
        </w:rPr>
        <w:t>fora</w:t>
      </w:r>
      <w:proofErr w:type="spellEnd"/>
      <w:r w:rsidRPr="00654694">
        <w:rPr>
          <w:rFonts w:asciiTheme="majorHAnsi" w:hAnsiTheme="majorHAnsi" w:cstheme="majorHAnsi"/>
          <w:sz w:val="22"/>
          <w:szCs w:val="22"/>
        </w:rPr>
        <w:t xml:space="preserve">. </w:t>
      </w:r>
      <w:r w:rsidR="008F4817" w:rsidRPr="00654694">
        <w:rPr>
          <w:rFonts w:asciiTheme="majorHAnsi" w:hAnsiTheme="majorHAnsi" w:cstheme="majorHAnsi"/>
          <w:sz w:val="22"/>
          <w:szCs w:val="22"/>
        </w:rPr>
        <w:t xml:space="preserve">The </w:t>
      </w:r>
      <w:r w:rsidR="000F2B12" w:rsidRPr="00654694">
        <w:rPr>
          <w:rFonts w:asciiTheme="majorHAnsi" w:hAnsiTheme="majorHAnsi" w:cstheme="majorHAnsi"/>
          <w:sz w:val="22"/>
          <w:szCs w:val="22"/>
        </w:rPr>
        <w:t>chall</w:t>
      </w:r>
      <w:r w:rsidR="00ED5CCF" w:rsidRPr="00654694">
        <w:rPr>
          <w:rFonts w:asciiTheme="majorHAnsi" w:hAnsiTheme="majorHAnsi" w:cstheme="majorHAnsi"/>
          <w:sz w:val="22"/>
          <w:szCs w:val="22"/>
        </w:rPr>
        <w:t>enge in achieving this mediating</w:t>
      </w:r>
      <w:r w:rsidR="000F2B12" w:rsidRPr="00654694">
        <w:rPr>
          <w:rFonts w:asciiTheme="majorHAnsi" w:hAnsiTheme="majorHAnsi" w:cstheme="majorHAnsi"/>
          <w:sz w:val="22"/>
          <w:szCs w:val="22"/>
        </w:rPr>
        <w:t xml:space="preserve"> role has been to gain buy-in and support across all sectors of society, and to fac</w:t>
      </w:r>
      <w:r w:rsidR="00ED5CCF" w:rsidRPr="00654694">
        <w:rPr>
          <w:rFonts w:asciiTheme="majorHAnsi" w:hAnsiTheme="majorHAnsi" w:cstheme="majorHAnsi"/>
          <w:sz w:val="22"/>
          <w:szCs w:val="22"/>
        </w:rPr>
        <w:t>ilitate situations in which all groups</w:t>
      </w:r>
      <w:r w:rsidR="000F2B12" w:rsidRPr="00654694">
        <w:rPr>
          <w:rFonts w:asciiTheme="majorHAnsi" w:hAnsiTheme="majorHAnsi" w:cstheme="majorHAnsi"/>
          <w:sz w:val="22"/>
          <w:szCs w:val="22"/>
        </w:rPr>
        <w:t xml:space="preserve"> talk openly and </w:t>
      </w:r>
      <w:r w:rsidR="00ED5CCF" w:rsidRPr="00654694">
        <w:rPr>
          <w:rFonts w:asciiTheme="majorHAnsi" w:hAnsiTheme="majorHAnsi" w:cstheme="majorHAnsi"/>
          <w:sz w:val="22"/>
          <w:szCs w:val="22"/>
        </w:rPr>
        <w:t xml:space="preserve">constructively </w:t>
      </w:r>
      <w:r w:rsidR="000F2B12" w:rsidRPr="00654694">
        <w:rPr>
          <w:rFonts w:asciiTheme="majorHAnsi" w:hAnsiTheme="majorHAnsi" w:cstheme="majorHAnsi"/>
          <w:sz w:val="22"/>
          <w:szCs w:val="22"/>
        </w:rPr>
        <w:t>about a highly complex issue – REDD+ – and a highly sensitive one – corruption. To do</w:t>
      </w:r>
      <w:r w:rsidR="008F4817" w:rsidRPr="00654694">
        <w:rPr>
          <w:rFonts w:asciiTheme="majorHAnsi" w:hAnsiTheme="majorHAnsi" w:cstheme="majorHAnsi"/>
          <w:sz w:val="22"/>
          <w:szCs w:val="22"/>
        </w:rPr>
        <w:t xml:space="preserve"> </w:t>
      </w:r>
      <w:proofErr w:type="gramStart"/>
      <w:r w:rsidR="008F4817" w:rsidRPr="00654694">
        <w:rPr>
          <w:rFonts w:asciiTheme="majorHAnsi" w:hAnsiTheme="majorHAnsi" w:cstheme="majorHAnsi"/>
          <w:sz w:val="22"/>
          <w:szCs w:val="22"/>
        </w:rPr>
        <w:t>this staff have</w:t>
      </w:r>
      <w:proofErr w:type="gramEnd"/>
      <w:r w:rsidR="008F4817" w:rsidRPr="00654694">
        <w:rPr>
          <w:rFonts w:asciiTheme="majorHAnsi" w:hAnsiTheme="majorHAnsi" w:cstheme="majorHAnsi"/>
          <w:sz w:val="22"/>
          <w:szCs w:val="22"/>
        </w:rPr>
        <w:t xml:space="preserve"> learned to tailor their </w:t>
      </w:r>
      <w:r w:rsidR="000F2B12" w:rsidRPr="00654694">
        <w:rPr>
          <w:rFonts w:asciiTheme="majorHAnsi" w:hAnsiTheme="majorHAnsi" w:cstheme="majorHAnsi"/>
          <w:sz w:val="22"/>
          <w:szCs w:val="22"/>
        </w:rPr>
        <w:t xml:space="preserve">messaging </w:t>
      </w:r>
      <w:r w:rsidR="002339BF" w:rsidRPr="00654694">
        <w:rPr>
          <w:rFonts w:asciiTheme="majorHAnsi" w:hAnsiTheme="majorHAnsi" w:cstheme="majorHAnsi"/>
          <w:sz w:val="22"/>
          <w:szCs w:val="22"/>
        </w:rPr>
        <w:t>so t</w:t>
      </w:r>
      <w:r w:rsidR="00647407" w:rsidRPr="00654694">
        <w:rPr>
          <w:rFonts w:asciiTheme="majorHAnsi" w:hAnsiTheme="majorHAnsi" w:cstheme="majorHAnsi"/>
          <w:sz w:val="22"/>
          <w:szCs w:val="22"/>
        </w:rPr>
        <w:t>ha</w:t>
      </w:r>
      <w:r w:rsidR="008F4817" w:rsidRPr="00654694">
        <w:rPr>
          <w:rFonts w:asciiTheme="majorHAnsi" w:hAnsiTheme="majorHAnsi" w:cstheme="majorHAnsi"/>
          <w:sz w:val="22"/>
          <w:szCs w:val="22"/>
        </w:rPr>
        <w:t xml:space="preserve">t it resonates at all levels. </w:t>
      </w:r>
    </w:p>
    <w:p w14:paraId="58895AC8" w14:textId="77777777" w:rsidR="00595A84" w:rsidRPr="00654694" w:rsidRDefault="00595A84" w:rsidP="000F2B12">
      <w:pPr>
        <w:pStyle w:val="NoSpacing"/>
        <w:ind w:left="-567" w:right="-347"/>
        <w:rPr>
          <w:rFonts w:asciiTheme="majorHAnsi" w:hAnsiTheme="majorHAnsi" w:cstheme="majorHAnsi"/>
          <w:sz w:val="22"/>
          <w:szCs w:val="22"/>
        </w:rPr>
      </w:pPr>
    </w:p>
    <w:p w14:paraId="0D7462BD" w14:textId="04AE3B7F" w:rsidR="00750105" w:rsidRPr="00654694" w:rsidRDefault="00C6196D" w:rsidP="007A4A6D">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lang w:val="en-GB"/>
        </w:rPr>
        <w:t>Moving ahead, the PAC REDD team is aware of the need to leverage the standing they have gained in REDD+ circ</w:t>
      </w:r>
      <w:r w:rsidR="00C37EAE" w:rsidRPr="00654694">
        <w:rPr>
          <w:rFonts w:asciiTheme="majorHAnsi" w:hAnsiTheme="majorHAnsi" w:cstheme="majorHAnsi"/>
          <w:sz w:val="22"/>
          <w:szCs w:val="22"/>
          <w:lang w:val="en-GB"/>
        </w:rPr>
        <w:t>les to shift the gear</w:t>
      </w:r>
      <w:r w:rsidR="007A4A6D" w:rsidRPr="00654694">
        <w:rPr>
          <w:rFonts w:asciiTheme="majorHAnsi" w:hAnsiTheme="majorHAnsi" w:cstheme="majorHAnsi"/>
          <w:sz w:val="22"/>
          <w:szCs w:val="22"/>
          <w:lang w:val="en-GB"/>
        </w:rPr>
        <w:t xml:space="preserve"> from </w:t>
      </w:r>
      <w:r w:rsidR="006E5C54" w:rsidRPr="00654694">
        <w:rPr>
          <w:rFonts w:asciiTheme="majorHAnsi" w:hAnsiTheme="majorHAnsi" w:cstheme="majorHAnsi"/>
          <w:sz w:val="22"/>
          <w:szCs w:val="22"/>
          <w:lang w:val="en-GB"/>
        </w:rPr>
        <w:t>problem understanding to problem solving</w:t>
      </w:r>
      <w:r w:rsidR="007A4A6D" w:rsidRPr="00654694">
        <w:rPr>
          <w:rFonts w:asciiTheme="majorHAnsi" w:hAnsiTheme="majorHAnsi" w:cstheme="majorHAnsi"/>
          <w:sz w:val="22"/>
          <w:szCs w:val="22"/>
          <w:lang w:val="en-GB"/>
        </w:rPr>
        <w:t xml:space="preserve">. It has become clear that governments may lack the capacity or the motivation to carry out the tasks required of them to strengthen anti-corruption provisions in REDD+. In such instances, TI will seek to provide technical and practical assistance to close the gap – TT </w:t>
      </w:r>
      <w:r w:rsidR="00753F84">
        <w:rPr>
          <w:rFonts w:asciiTheme="majorHAnsi" w:hAnsiTheme="majorHAnsi" w:cstheme="majorHAnsi"/>
          <w:sz w:val="22"/>
          <w:szCs w:val="22"/>
          <w:lang w:val="en-GB"/>
        </w:rPr>
        <w:t xml:space="preserve">Vietnam </w:t>
      </w:r>
      <w:r w:rsidR="007A4A6D" w:rsidRPr="00654694">
        <w:rPr>
          <w:rFonts w:asciiTheme="majorHAnsi" w:hAnsiTheme="majorHAnsi" w:cstheme="majorHAnsi"/>
          <w:sz w:val="22"/>
          <w:szCs w:val="22"/>
          <w:lang w:val="en-GB"/>
        </w:rPr>
        <w:t xml:space="preserve">will prioritise project monitoring tools, TI Indonesia financial oversight, and TI PNG forest community consultations. </w:t>
      </w:r>
    </w:p>
    <w:p w14:paraId="29A0FB83" w14:textId="77777777" w:rsidR="00750105" w:rsidRPr="00654694" w:rsidRDefault="00750105" w:rsidP="007A4A6D">
      <w:pPr>
        <w:pStyle w:val="NoSpacing"/>
        <w:ind w:left="-567" w:right="-347"/>
        <w:rPr>
          <w:rFonts w:asciiTheme="majorHAnsi" w:hAnsiTheme="majorHAnsi" w:cstheme="majorHAnsi"/>
          <w:sz w:val="22"/>
          <w:szCs w:val="22"/>
          <w:lang w:val="en-GB"/>
        </w:rPr>
      </w:pPr>
    </w:p>
    <w:p w14:paraId="50D6D6C8" w14:textId="067DED9E" w:rsidR="00E84238" w:rsidRPr="00654694" w:rsidRDefault="007A4A6D" w:rsidP="00750105">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lang w:val="en-GB"/>
        </w:rPr>
        <w:t>All three chapters have</w:t>
      </w:r>
      <w:r w:rsidR="0023251F" w:rsidRPr="00654694">
        <w:rPr>
          <w:rFonts w:asciiTheme="majorHAnsi" w:hAnsiTheme="majorHAnsi" w:cstheme="majorHAnsi"/>
          <w:sz w:val="22"/>
          <w:szCs w:val="22"/>
          <w:lang w:val="en-GB"/>
        </w:rPr>
        <w:t xml:space="preserve"> struggled to adequately engage the private sector, in large because of </w:t>
      </w:r>
      <w:r w:rsidR="00C37EAE" w:rsidRPr="00654694">
        <w:rPr>
          <w:rFonts w:asciiTheme="majorHAnsi" w:hAnsiTheme="majorHAnsi" w:cstheme="majorHAnsi"/>
          <w:sz w:val="22"/>
          <w:szCs w:val="22"/>
          <w:lang w:val="en-GB"/>
        </w:rPr>
        <w:t xml:space="preserve">the unwillingness </w:t>
      </w:r>
      <w:r w:rsidR="0023251F" w:rsidRPr="00654694">
        <w:rPr>
          <w:rFonts w:asciiTheme="majorHAnsi" w:hAnsiTheme="majorHAnsi" w:cstheme="majorHAnsi"/>
          <w:sz w:val="22"/>
          <w:szCs w:val="22"/>
          <w:lang w:val="en-GB"/>
        </w:rPr>
        <w:t xml:space="preserve">of companies to enter into dialogue. Given the level of influence the private sector is likely to have over REDD+ </w:t>
      </w:r>
      <w:r w:rsidR="00C37EAE" w:rsidRPr="00654694">
        <w:rPr>
          <w:rFonts w:asciiTheme="majorHAnsi" w:hAnsiTheme="majorHAnsi" w:cstheme="majorHAnsi"/>
          <w:sz w:val="22"/>
          <w:szCs w:val="22"/>
          <w:lang w:val="en-GB"/>
        </w:rPr>
        <w:t xml:space="preserve">TI chapters </w:t>
      </w:r>
      <w:proofErr w:type="gramStart"/>
      <w:r w:rsidR="00C37EAE" w:rsidRPr="00654694">
        <w:rPr>
          <w:rFonts w:asciiTheme="majorHAnsi" w:hAnsiTheme="majorHAnsi" w:cstheme="majorHAnsi"/>
          <w:sz w:val="22"/>
          <w:szCs w:val="22"/>
          <w:lang w:val="en-GB"/>
        </w:rPr>
        <w:t>will</w:t>
      </w:r>
      <w:proofErr w:type="gramEnd"/>
      <w:r w:rsidR="00C37EAE" w:rsidRPr="00654694">
        <w:rPr>
          <w:rFonts w:asciiTheme="majorHAnsi" w:hAnsiTheme="majorHAnsi" w:cstheme="majorHAnsi"/>
          <w:sz w:val="22"/>
          <w:szCs w:val="22"/>
          <w:lang w:val="en-GB"/>
        </w:rPr>
        <w:t xml:space="preserve"> in the coming months devise a </w:t>
      </w:r>
      <w:r w:rsidR="0023251F" w:rsidRPr="00654694">
        <w:rPr>
          <w:rFonts w:asciiTheme="majorHAnsi" w:hAnsiTheme="majorHAnsi" w:cstheme="majorHAnsi"/>
          <w:sz w:val="22"/>
          <w:szCs w:val="22"/>
          <w:lang w:val="en-GB"/>
        </w:rPr>
        <w:t xml:space="preserve">strategy </w:t>
      </w:r>
      <w:r w:rsidR="00C37EAE" w:rsidRPr="00654694">
        <w:rPr>
          <w:rFonts w:asciiTheme="majorHAnsi" w:hAnsiTheme="majorHAnsi" w:cstheme="majorHAnsi"/>
          <w:sz w:val="22"/>
          <w:szCs w:val="22"/>
          <w:lang w:val="en-GB"/>
        </w:rPr>
        <w:t>for convincing</w:t>
      </w:r>
      <w:r w:rsidR="0023251F" w:rsidRPr="00654694">
        <w:rPr>
          <w:rFonts w:asciiTheme="majorHAnsi" w:hAnsiTheme="majorHAnsi" w:cstheme="majorHAnsi"/>
          <w:sz w:val="22"/>
          <w:szCs w:val="22"/>
          <w:lang w:val="en-GB"/>
        </w:rPr>
        <w:t xml:space="preserve"> priva</w:t>
      </w:r>
      <w:r w:rsidR="001044E7" w:rsidRPr="00654694">
        <w:rPr>
          <w:rFonts w:asciiTheme="majorHAnsi" w:hAnsiTheme="majorHAnsi" w:cstheme="majorHAnsi"/>
          <w:sz w:val="22"/>
          <w:szCs w:val="22"/>
          <w:lang w:val="en-GB"/>
        </w:rPr>
        <w:t xml:space="preserve">te actors of the merits of </w:t>
      </w:r>
      <w:r w:rsidR="0023251F" w:rsidRPr="00654694">
        <w:rPr>
          <w:rFonts w:asciiTheme="majorHAnsi" w:hAnsiTheme="majorHAnsi" w:cstheme="majorHAnsi"/>
          <w:sz w:val="22"/>
          <w:szCs w:val="22"/>
          <w:lang w:val="en-GB"/>
        </w:rPr>
        <w:t>cor</w:t>
      </w:r>
      <w:r w:rsidR="001044E7" w:rsidRPr="00654694">
        <w:rPr>
          <w:rFonts w:asciiTheme="majorHAnsi" w:hAnsiTheme="majorHAnsi" w:cstheme="majorHAnsi"/>
          <w:sz w:val="22"/>
          <w:szCs w:val="22"/>
          <w:lang w:val="en-GB"/>
        </w:rPr>
        <w:t>ruption prevention</w:t>
      </w:r>
      <w:r w:rsidR="0023251F" w:rsidRPr="00654694">
        <w:rPr>
          <w:rFonts w:asciiTheme="majorHAnsi" w:hAnsiTheme="majorHAnsi" w:cstheme="majorHAnsi"/>
          <w:sz w:val="22"/>
          <w:szCs w:val="22"/>
          <w:lang w:val="en-GB"/>
        </w:rPr>
        <w:t xml:space="preserve">. One </w:t>
      </w:r>
      <w:r w:rsidR="001044E7" w:rsidRPr="00654694">
        <w:rPr>
          <w:rFonts w:asciiTheme="majorHAnsi" w:hAnsiTheme="majorHAnsi" w:cstheme="majorHAnsi"/>
          <w:sz w:val="22"/>
          <w:szCs w:val="22"/>
          <w:lang w:val="en-GB"/>
        </w:rPr>
        <w:t xml:space="preserve">tool </w:t>
      </w:r>
      <w:r w:rsidR="0023251F" w:rsidRPr="00654694">
        <w:rPr>
          <w:rFonts w:asciiTheme="majorHAnsi" w:hAnsiTheme="majorHAnsi" w:cstheme="majorHAnsi"/>
          <w:sz w:val="22"/>
          <w:szCs w:val="22"/>
          <w:lang w:val="en-GB"/>
        </w:rPr>
        <w:t>the</w:t>
      </w:r>
      <w:r w:rsidR="001044E7" w:rsidRPr="00654694">
        <w:rPr>
          <w:rFonts w:asciiTheme="majorHAnsi" w:hAnsiTheme="majorHAnsi" w:cstheme="majorHAnsi"/>
          <w:sz w:val="22"/>
          <w:szCs w:val="22"/>
          <w:lang w:val="en-GB"/>
        </w:rPr>
        <w:t xml:space="preserve">y are </w:t>
      </w:r>
      <w:r w:rsidR="00750105" w:rsidRPr="00654694">
        <w:rPr>
          <w:rFonts w:asciiTheme="majorHAnsi" w:hAnsiTheme="majorHAnsi" w:cstheme="majorHAnsi"/>
          <w:sz w:val="22"/>
          <w:szCs w:val="22"/>
          <w:lang w:val="en-GB"/>
        </w:rPr>
        <w:t>planning to</w:t>
      </w:r>
      <w:r w:rsidR="001044E7" w:rsidRPr="00654694">
        <w:rPr>
          <w:rFonts w:asciiTheme="majorHAnsi" w:hAnsiTheme="majorHAnsi" w:cstheme="majorHAnsi"/>
          <w:sz w:val="22"/>
          <w:szCs w:val="22"/>
          <w:lang w:val="en-GB"/>
        </w:rPr>
        <w:t xml:space="preserve"> </w:t>
      </w:r>
      <w:r w:rsidR="00750105" w:rsidRPr="00654694">
        <w:rPr>
          <w:rFonts w:asciiTheme="majorHAnsi" w:hAnsiTheme="majorHAnsi" w:cstheme="majorHAnsi"/>
          <w:sz w:val="22"/>
          <w:szCs w:val="22"/>
          <w:lang w:val="en-GB"/>
        </w:rPr>
        <w:t xml:space="preserve">employ </w:t>
      </w:r>
      <w:r w:rsidR="001044E7" w:rsidRPr="00654694">
        <w:rPr>
          <w:rFonts w:asciiTheme="majorHAnsi" w:hAnsiTheme="majorHAnsi" w:cstheme="majorHAnsi"/>
          <w:sz w:val="22"/>
          <w:szCs w:val="22"/>
          <w:lang w:val="en-GB"/>
        </w:rPr>
        <w:t xml:space="preserve">is </w:t>
      </w:r>
      <w:r w:rsidR="0023251F" w:rsidRPr="00654694">
        <w:rPr>
          <w:rFonts w:asciiTheme="majorHAnsi" w:hAnsiTheme="majorHAnsi" w:cstheme="majorHAnsi"/>
          <w:sz w:val="22"/>
          <w:szCs w:val="22"/>
          <w:lang w:val="en-GB"/>
        </w:rPr>
        <w:t xml:space="preserve">TI’s </w:t>
      </w:r>
      <w:hyperlink r:id="rId24" w:history="1">
        <w:r w:rsidR="001044E7" w:rsidRPr="00654694">
          <w:rPr>
            <w:rStyle w:val="Hyperlink"/>
            <w:rFonts w:asciiTheme="majorHAnsi" w:hAnsiTheme="majorHAnsi" w:cstheme="majorHAnsi"/>
            <w:sz w:val="22"/>
            <w:szCs w:val="22"/>
            <w:lang w:val="en-GB"/>
          </w:rPr>
          <w:t>Integrity Pact</w:t>
        </w:r>
      </w:hyperlink>
      <w:r w:rsidR="0023251F" w:rsidRPr="00654694">
        <w:rPr>
          <w:rFonts w:asciiTheme="majorHAnsi" w:hAnsiTheme="majorHAnsi" w:cstheme="majorHAnsi"/>
          <w:sz w:val="22"/>
          <w:szCs w:val="22"/>
          <w:lang w:val="en-GB"/>
        </w:rPr>
        <w:t xml:space="preserve"> – </w:t>
      </w:r>
      <w:r w:rsidR="001044E7" w:rsidRPr="00654694">
        <w:rPr>
          <w:rFonts w:asciiTheme="majorHAnsi" w:hAnsiTheme="majorHAnsi" w:cstheme="majorHAnsi"/>
          <w:sz w:val="22"/>
          <w:szCs w:val="22"/>
          <w:lang w:val="en-GB"/>
        </w:rPr>
        <w:t xml:space="preserve">an agreement </w:t>
      </w:r>
      <w:r w:rsidR="0023251F" w:rsidRPr="00654694">
        <w:rPr>
          <w:rFonts w:asciiTheme="majorHAnsi" w:hAnsiTheme="majorHAnsi" w:cstheme="majorHAnsi"/>
          <w:sz w:val="22"/>
          <w:szCs w:val="22"/>
          <w:lang w:val="en-GB"/>
        </w:rPr>
        <w:t xml:space="preserve">signed </w:t>
      </w:r>
      <w:r w:rsidR="001044E7" w:rsidRPr="00654694">
        <w:rPr>
          <w:rFonts w:asciiTheme="majorHAnsi" w:hAnsiTheme="majorHAnsi" w:cstheme="majorHAnsi"/>
          <w:sz w:val="22"/>
          <w:szCs w:val="22"/>
          <w:lang w:val="en-GB"/>
        </w:rPr>
        <w:t>during a</w:t>
      </w:r>
      <w:r w:rsidR="0023251F" w:rsidRPr="00654694">
        <w:rPr>
          <w:rFonts w:asciiTheme="majorHAnsi" w:hAnsiTheme="majorHAnsi" w:cstheme="majorHAnsi"/>
          <w:sz w:val="22"/>
          <w:szCs w:val="22"/>
          <w:lang w:val="en-GB"/>
        </w:rPr>
        <w:t xml:space="preserve"> public procurement tender between government agencies and bidders that they will refrain from bribery and other forms of corruption. </w:t>
      </w:r>
      <w:r w:rsidR="001044E7" w:rsidRPr="00654694">
        <w:rPr>
          <w:rFonts w:asciiTheme="majorHAnsi" w:hAnsiTheme="majorHAnsi" w:cstheme="majorHAnsi"/>
          <w:sz w:val="22"/>
          <w:szCs w:val="22"/>
          <w:lang w:val="en-GB"/>
        </w:rPr>
        <w:t>C</w:t>
      </w:r>
      <w:r w:rsidR="0023251F" w:rsidRPr="00654694">
        <w:rPr>
          <w:rFonts w:asciiTheme="majorHAnsi" w:hAnsiTheme="majorHAnsi" w:cstheme="majorHAnsi"/>
          <w:sz w:val="22"/>
          <w:szCs w:val="22"/>
          <w:lang w:val="en-GB"/>
        </w:rPr>
        <w:t xml:space="preserve">ompanies have often been </w:t>
      </w:r>
      <w:r w:rsidR="001044E7" w:rsidRPr="00654694">
        <w:rPr>
          <w:rFonts w:asciiTheme="majorHAnsi" w:hAnsiTheme="majorHAnsi" w:cstheme="majorHAnsi"/>
          <w:sz w:val="22"/>
          <w:szCs w:val="22"/>
          <w:lang w:val="en-GB"/>
        </w:rPr>
        <w:t xml:space="preserve">very keen on </w:t>
      </w:r>
      <w:r w:rsidR="0023251F" w:rsidRPr="00654694">
        <w:rPr>
          <w:rFonts w:asciiTheme="majorHAnsi" w:hAnsiTheme="majorHAnsi" w:cstheme="majorHAnsi"/>
          <w:sz w:val="22"/>
          <w:szCs w:val="22"/>
          <w:lang w:val="en-GB"/>
        </w:rPr>
        <w:t xml:space="preserve">these pacts, which have </w:t>
      </w:r>
      <w:r w:rsidR="001044E7" w:rsidRPr="00654694">
        <w:rPr>
          <w:rFonts w:asciiTheme="majorHAnsi" w:hAnsiTheme="majorHAnsi" w:cstheme="majorHAnsi"/>
          <w:sz w:val="22"/>
          <w:szCs w:val="22"/>
          <w:lang w:val="en-GB"/>
        </w:rPr>
        <w:t>created a</w:t>
      </w:r>
      <w:r w:rsidR="0023251F" w:rsidRPr="00654694">
        <w:rPr>
          <w:rFonts w:asciiTheme="majorHAnsi" w:hAnsiTheme="majorHAnsi" w:cstheme="majorHAnsi"/>
          <w:sz w:val="22"/>
          <w:szCs w:val="22"/>
          <w:lang w:val="en-GB"/>
        </w:rPr>
        <w:t xml:space="preserve"> level playing field that w</w:t>
      </w:r>
      <w:r w:rsidR="001044E7" w:rsidRPr="00654694">
        <w:rPr>
          <w:rFonts w:asciiTheme="majorHAnsi" w:hAnsiTheme="majorHAnsi" w:cstheme="majorHAnsi"/>
          <w:sz w:val="22"/>
          <w:szCs w:val="22"/>
          <w:lang w:val="en-GB"/>
        </w:rPr>
        <w:t xml:space="preserve">ould otherwise be lacking. The pacts have also proven a good entry point for co-developing with </w:t>
      </w:r>
      <w:proofErr w:type="gramStart"/>
      <w:r w:rsidR="001044E7" w:rsidRPr="00654694">
        <w:rPr>
          <w:rFonts w:asciiTheme="majorHAnsi" w:hAnsiTheme="majorHAnsi" w:cstheme="majorHAnsi"/>
          <w:sz w:val="22"/>
          <w:szCs w:val="22"/>
          <w:lang w:val="en-GB"/>
        </w:rPr>
        <w:t>companies</w:t>
      </w:r>
      <w:proofErr w:type="gramEnd"/>
      <w:r w:rsidR="001044E7" w:rsidRPr="00654694">
        <w:rPr>
          <w:rFonts w:asciiTheme="majorHAnsi" w:hAnsiTheme="majorHAnsi" w:cstheme="majorHAnsi"/>
          <w:sz w:val="22"/>
          <w:szCs w:val="22"/>
          <w:lang w:val="en-GB"/>
        </w:rPr>
        <w:t xml:space="preserve"> </w:t>
      </w:r>
      <w:r w:rsidR="0023251F" w:rsidRPr="00654694">
        <w:rPr>
          <w:rFonts w:asciiTheme="majorHAnsi" w:hAnsiTheme="majorHAnsi" w:cstheme="majorHAnsi"/>
          <w:sz w:val="22"/>
          <w:szCs w:val="22"/>
          <w:lang w:val="en-GB"/>
        </w:rPr>
        <w:t>integrity</w:t>
      </w:r>
      <w:r w:rsidR="001044E7" w:rsidRPr="00654694">
        <w:rPr>
          <w:rFonts w:asciiTheme="majorHAnsi" w:hAnsiTheme="majorHAnsi" w:cstheme="majorHAnsi"/>
          <w:sz w:val="22"/>
          <w:szCs w:val="22"/>
          <w:lang w:val="en-GB"/>
        </w:rPr>
        <w:t xml:space="preserve"> policies </w:t>
      </w:r>
      <w:r w:rsidR="0023251F" w:rsidRPr="00654694">
        <w:rPr>
          <w:rFonts w:asciiTheme="majorHAnsi" w:hAnsiTheme="majorHAnsi" w:cstheme="majorHAnsi"/>
          <w:sz w:val="22"/>
          <w:szCs w:val="22"/>
          <w:lang w:val="en-GB"/>
        </w:rPr>
        <w:t>and monitoring and enforcement procedures</w:t>
      </w:r>
      <w:r w:rsidR="00750105" w:rsidRPr="00654694">
        <w:rPr>
          <w:rFonts w:asciiTheme="majorHAnsi" w:hAnsiTheme="majorHAnsi" w:cstheme="majorHAnsi"/>
          <w:sz w:val="22"/>
          <w:szCs w:val="22"/>
          <w:lang w:val="en-GB"/>
        </w:rPr>
        <w:t xml:space="preserve"> for their operations.</w:t>
      </w:r>
    </w:p>
    <w:p w14:paraId="28118677" w14:textId="77777777" w:rsidR="00D60670" w:rsidRPr="00654694" w:rsidRDefault="00D60670" w:rsidP="00750105">
      <w:pPr>
        <w:pStyle w:val="NoSpacing"/>
        <w:ind w:left="-567" w:right="-347"/>
        <w:rPr>
          <w:rFonts w:asciiTheme="majorHAnsi" w:hAnsiTheme="majorHAnsi" w:cstheme="majorHAnsi"/>
          <w:sz w:val="22"/>
          <w:szCs w:val="22"/>
          <w:lang w:val="en-GB"/>
        </w:rPr>
      </w:pPr>
    </w:p>
    <w:p w14:paraId="436017C9" w14:textId="5C881F43" w:rsidR="00B947C0" w:rsidRPr="00654694" w:rsidRDefault="00D60670" w:rsidP="00B947C0">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lang w:val="en-GB"/>
        </w:rPr>
        <w:t>Developing and strengthening anti-corruption project monitoring and citizen hotlines are two fundamental</w:t>
      </w:r>
      <w:r w:rsidR="00DA10C2" w:rsidRPr="00654694">
        <w:rPr>
          <w:rFonts w:asciiTheme="majorHAnsi" w:hAnsiTheme="majorHAnsi" w:cstheme="majorHAnsi"/>
          <w:sz w:val="22"/>
          <w:szCs w:val="22"/>
          <w:lang w:val="en-GB"/>
        </w:rPr>
        <w:t xml:space="preserve"> areas where TI clearly plays</w:t>
      </w:r>
      <w:r w:rsidRPr="00654694">
        <w:rPr>
          <w:rFonts w:asciiTheme="majorHAnsi" w:hAnsiTheme="majorHAnsi" w:cstheme="majorHAnsi"/>
          <w:sz w:val="22"/>
          <w:szCs w:val="22"/>
          <w:lang w:val="en-GB"/>
        </w:rPr>
        <w:t xml:space="preserve"> important role</w:t>
      </w:r>
      <w:r w:rsidR="00DA10C2" w:rsidRPr="00654694">
        <w:rPr>
          <w:rFonts w:asciiTheme="majorHAnsi" w:hAnsiTheme="majorHAnsi" w:cstheme="majorHAnsi"/>
          <w:sz w:val="22"/>
          <w:szCs w:val="22"/>
          <w:lang w:val="en-GB"/>
        </w:rPr>
        <w:t>s</w:t>
      </w:r>
      <w:r w:rsidRPr="00654694">
        <w:rPr>
          <w:rFonts w:asciiTheme="majorHAnsi" w:hAnsiTheme="majorHAnsi" w:cstheme="majorHAnsi"/>
          <w:sz w:val="22"/>
          <w:szCs w:val="22"/>
          <w:lang w:val="en-GB"/>
        </w:rPr>
        <w:t xml:space="preserve"> </w:t>
      </w:r>
      <w:r w:rsidR="00DA10C2" w:rsidRPr="00654694">
        <w:rPr>
          <w:rFonts w:asciiTheme="majorHAnsi" w:hAnsiTheme="majorHAnsi" w:cstheme="majorHAnsi"/>
          <w:sz w:val="22"/>
          <w:szCs w:val="22"/>
          <w:lang w:val="en-GB"/>
        </w:rPr>
        <w:t xml:space="preserve">to support REDD+ actions.  These roles are filling gaps as REDD+ and climate finance governance more broadly still struggle with questions of accountability and law enforcement in many recipient countries.  TI continues to support positive policy changes while taking on actions to promote anti-corruption until reforms happen. </w:t>
      </w:r>
      <w:r w:rsidR="00B947C0" w:rsidRPr="00654694">
        <w:rPr>
          <w:rFonts w:asciiTheme="majorHAnsi" w:hAnsiTheme="majorHAnsi" w:cstheme="majorHAnsi"/>
          <w:sz w:val="22"/>
          <w:szCs w:val="22"/>
          <w:lang w:val="en-GB"/>
        </w:rPr>
        <w:t>When things go wrong, TI - through early-warning approaches will also be better situated to prevent damages and demand accountability.</w:t>
      </w:r>
    </w:p>
    <w:p w14:paraId="5A566097" w14:textId="77777777" w:rsidR="00DA10C2" w:rsidRPr="00654694" w:rsidRDefault="00DA10C2" w:rsidP="00750105">
      <w:pPr>
        <w:pStyle w:val="NoSpacing"/>
        <w:ind w:left="-567" w:right="-347"/>
        <w:rPr>
          <w:rFonts w:asciiTheme="majorHAnsi" w:hAnsiTheme="majorHAnsi" w:cstheme="majorHAnsi"/>
          <w:sz w:val="22"/>
          <w:szCs w:val="22"/>
          <w:lang w:val="en-GB"/>
        </w:rPr>
      </w:pPr>
    </w:p>
    <w:p w14:paraId="43604252" w14:textId="3CA5E572" w:rsidR="00D60670" w:rsidRPr="00654694" w:rsidRDefault="00DA10C2" w:rsidP="00750105">
      <w:pPr>
        <w:pStyle w:val="NoSpacing"/>
        <w:ind w:left="-567" w:right="-347"/>
        <w:rPr>
          <w:rFonts w:asciiTheme="majorHAnsi" w:hAnsiTheme="majorHAnsi" w:cstheme="majorHAnsi"/>
          <w:sz w:val="22"/>
          <w:szCs w:val="22"/>
          <w:lang w:val="en-GB"/>
        </w:rPr>
      </w:pPr>
      <w:r w:rsidRPr="00654694">
        <w:rPr>
          <w:rFonts w:asciiTheme="majorHAnsi" w:hAnsiTheme="majorHAnsi" w:cstheme="majorHAnsi"/>
          <w:sz w:val="22"/>
          <w:szCs w:val="22"/>
          <w:lang w:val="en-GB"/>
        </w:rPr>
        <w:t xml:space="preserve">As TI’s Climate Finance Integrity Programme grows to work globally, sharing experiences and know-how becomes extremely important and relevant. </w:t>
      </w:r>
      <w:r w:rsidR="00B947C0" w:rsidRPr="00654694">
        <w:rPr>
          <w:rFonts w:asciiTheme="majorHAnsi" w:hAnsiTheme="majorHAnsi" w:cstheme="majorHAnsi"/>
          <w:sz w:val="22"/>
          <w:szCs w:val="22"/>
          <w:lang w:val="en-GB"/>
        </w:rPr>
        <w:t xml:space="preserve">Connecting TI’s teams in, for example, </w:t>
      </w:r>
      <w:r w:rsidRPr="00654694">
        <w:rPr>
          <w:rFonts w:asciiTheme="majorHAnsi" w:hAnsiTheme="majorHAnsi" w:cstheme="majorHAnsi"/>
          <w:sz w:val="22"/>
          <w:szCs w:val="22"/>
          <w:lang w:val="en-GB"/>
        </w:rPr>
        <w:t>Cameroon, Indonesia and Mexico</w:t>
      </w:r>
      <w:r w:rsidR="00B947C0" w:rsidRPr="00654694">
        <w:rPr>
          <w:rFonts w:asciiTheme="majorHAnsi" w:hAnsiTheme="majorHAnsi" w:cstheme="majorHAnsi"/>
          <w:sz w:val="22"/>
          <w:szCs w:val="22"/>
          <w:lang w:val="en-GB"/>
        </w:rPr>
        <w:t xml:space="preserve"> will benefit the development and advocacy for innovative policy changes and actions for monitoring implementation over time.  National level knowledge also will be brought more proactively in international policy dialogues to ensure coherent approaches are in place and working. </w:t>
      </w:r>
    </w:p>
    <w:p w14:paraId="0F6AAB7F" w14:textId="77777777" w:rsidR="0088291C" w:rsidRPr="00654694" w:rsidRDefault="0088291C" w:rsidP="00750105">
      <w:pPr>
        <w:pStyle w:val="NoSpacing"/>
        <w:ind w:left="-567" w:right="-347"/>
        <w:rPr>
          <w:rFonts w:asciiTheme="majorHAnsi" w:hAnsiTheme="majorHAnsi" w:cstheme="majorHAnsi"/>
          <w:sz w:val="22"/>
          <w:szCs w:val="22"/>
          <w:lang w:val="en-GB"/>
        </w:rPr>
      </w:pPr>
    </w:p>
    <w:p w14:paraId="21F97A7C" w14:textId="77777777" w:rsidR="00D12BD8" w:rsidRPr="00D12BD8" w:rsidRDefault="00D12BD8" w:rsidP="00D12BD8">
      <w:pPr>
        <w:pStyle w:val="Heading1"/>
        <w:rPr>
          <w:rFonts w:asciiTheme="majorHAnsi" w:hAnsiTheme="majorHAnsi" w:cstheme="majorHAnsi"/>
          <w:b w:val="0"/>
          <w:color w:val="000000" w:themeColor="text1"/>
          <w:sz w:val="20"/>
          <w:szCs w:val="20"/>
        </w:rPr>
      </w:pPr>
      <w:r w:rsidRPr="00D12BD8">
        <w:rPr>
          <w:rFonts w:asciiTheme="majorHAnsi" w:hAnsiTheme="majorHAnsi" w:cstheme="majorHAnsi"/>
          <w:b w:val="0"/>
          <w:i/>
          <w:color w:val="000000" w:themeColor="text1"/>
          <w:sz w:val="20"/>
          <w:szCs w:val="20"/>
        </w:rPr>
        <w:t>Contact:</w:t>
      </w:r>
      <w:r w:rsidRPr="00D12BD8">
        <w:rPr>
          <w:rFonts w:asciiTheme="majorHAnsi" w:hAnsiTheme="majorHAnsi" w:cstheme="majorHAnsi"/>
          <w:b w:val="0"/>
          <w:color w:val="000000" w:themeColor="text1"/>
          <w:sz w:val="20"/>
          <w:szCs w:val="20"/>
        </w:rPr>
        <w:t xml:space="preserve"> </w:t>
      </w:r>
    </w:p>
    <w:p w14:paraId="139DD6D0" w14:textId="0DB2A0D2" w:rsidR="00654694" w:rsidRPr="00D12BD8" w:rsidRDefault="00654694" w:rsidP="00D12BD8">
      <w:pPr>
        <w:pStyle w:val="Heading1"/>
        <w:rPr>
          <w:rFonts w:asciiTheme="majorHAnsi" w:hAnsiTheme="majorHAnsi" w:cstheme="majorHAnsi"/>
          <w:b w:val="0"/>
          <w:color w:val="000000" w:themeColor="text1"/>
          <w:sz w:val="20"/>
          <w:szCs w:val="20"/>
        </w:rPr>
      </w:pPr>
      <w:r w:rsidRPr="00D12BD8">
        <w:rPr>
          <w:rFonts w:asciiTheme="majorHAnsi" w:hAnsiTheme="majorHAnsi" w:cstheme="majorHAnsi"/>
          <w:b w:val="0"/>
          <w:color w:val="000000" w:themeColor="text1"/>
          <w:sz w:val="20"/>
          <w:szCs w:val="20"/>
        </w:rPr>
        <w:t>Lisa Elges</w:t>
      </w:r>
      <w:r w:rsidR="00D12BD8" w:rsidRPr="00D12BD8">
        <w:rPr>
          <w:rFonts w:asciiTheme="majorHAnsi" w:hAnsiTheme="majorHAnsi" w:cstheme="majorHAnsi"/>
          <w:b w:val="0"/>
          <w:color w:val="000000" w:themeColor="text1"/>
          <w:sz w:val="20"/>
          <w:szCs w:val="20"/>
        </w:rPr>
        <w:t xml:space="preserve">, Team </w:t>
      </w:r>
      <w:r w:rsidRPr="00D12BD8">
        <w:rPr>
          <w:rFonts w:asciiTheme="majorHAnsi" w:hAnsiTheme="majorHAnsi" w:cstheme="majorHAnsi"/>
          <w:b w:val="0"/>
          <w:color w:val="000000" w:themeColor="text1"/>
          <w:sz w:val="20"/>
          <w:szCs w:val="20"/>
        </w:rPr>
        <w:t>Leader</w:t>
      </w:r>
      <w:r w:rsidR="00D12BD8" w:rsidRPr="00D12BD8">
        <w:rPr>
          <w:rFonts w:asciiTheme="majorHAnsi" w:hAnsiTheme="majorHAnsi" w:cstheme="majorHAnsi"/>
          <w:b w:val="0"/>
          <w:color w:val="000000" w:themeColor="text1"/>
          <w:sz w:val="20"/>
          <w:szCs w:val="20"/>
        </w:rPr>
        <w:t xml:space="preserve">, </w:t>
      </w:r>
      <w:hyperlink r:id="rId25" w:history="1">
        <w:r w:rsidRPr="00D12BD8">
          <w:rPr>
            <w:rStyle w:val="Hyperlink"/>
            <w:rFonts w:asciiTheme="majorHAnsi" w:hAnsiTheme="majorHAnsi" w:cstheme="majorHAnsi"/>
            <w:b w:val="0"/>
            <w:sz w:val="20"/>
            <w:szCs w:val="20"/>
          </w:rPr>
          <w:t>Climate Finance Integrity Programme</w:t>
        </w:r>
      </w:hyperlink>
    </w:p>
    <w:p w14:paraId="181CB69D" w14:textId="0E5D588F" w:rsidR="00654694" w:rsidRPr="00D12BD8" w:rsidRDefault="00D12BD8" w:rsidP="00D12BD8">
      <w:pPr>
        <w:ind w:hanging="567"/>
        <w:rPr>
          <w:rFonts w:asciiTheme="majorHAnsi" w:hAnsiTheme="majorHAnsi" w:cstheme="majorHAnsi"/>
          <w:color w:val="000000" w:themeColor="text1"/>
          <w:sz w:val="20"/>
          <w:szCs w:val="20"/>
        </w:rPr>
      </w:pPr>
      <w:r w:rsidRPr="00D12BD8">
        <w:rPr>
          <w:rFonts w:asciiTheme="majorHAnsi" w:hAnsiTheme="majorHAnsi" w:cstheme="majorHAnsi"/>
          <w:color w:val="000000" w:themeColor="text1"/>
          <w:sz w:val="20"/>
          <w:szCs w:val="20"/>
          <w:u w:val="single"/>
        </w:rPr>
        <w:t>lelges</w:t>
      </w:r>
      <w:r w:rsidRPr="00D12BD8">
        <w:rPr>
          <w:rFonts w:asciiTheme="majorHAnsi" w:hAnsiTheme="majorHAnsi" w:cstheme="majorHAnsi"/>
          <w:color w:val="000000" w:themeColor="text1"/>
          <w:sz w:val="20"/>
          <w:szCs w:val="20"/>
        </w:rPr>
        <w:t>@transparency.org</w:t>
      </w:r>
      <w:bookmarkStart w:id="0" w:name="_GoBack"/>
      <w:bookmarkEnd w:id="0"/>
    </w:p>
    <w:sectPr w:rsidR="00654694" w:rsidRPr="00D12BD8" w:rsidSect="00937F1E">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CB558" w14:textId="77777777" w:rsidR="00DC778E" w:rsidRDefault="00DC778E" w:rsidP="00384AED">
      <w:r>
        <w:separator/>
      </w:r>
    </w:p>
  </w:endnote>
  <w:endnote w:type="continuationSeparator" w:id="0">
    <w:p w14:paraId="3B1B4EB6" w14:textId="77777777" w:rsidR="00DC778E" w:rsidRDefault="00DC778E" w:rsidP="003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08F31" w14:textId="77777777" w:rsidR="00DC778E" w:rsidRDefault="00DC778E" w:rsidP="00384AED">
      <w:r>
        <w:separator/>
      </w:r>
    </w:p>
  </w:footnote>
  <w:footnote w:type="continuationSeparator" w:id="0">
    <w:p w14:paraId="3AF68BE0" w14:textId="77777777" w:rsidR="00DC778E" w:rsidRDefault="00DC778E" w:rsidP="0038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06A"/>
    <w:multiLevelType w:val="hybridMultilevel"/>
    <w:tmpl w:val="6DFCDAD0"/>
    <w:lvl w:ilvl="0" w:tplc="04090001">
      <w:start w:val="1"/>
      <w:numFmt w:val="bullet"/>
      <w:lvlText w:val=""/>
      <w:lvlJc w:val="left"/>
      <w:pPr>
        <w:ind w:left="4428" w:hanging="360"/>
      </w:pPr>
      <w:rPr>
        <w:rFonts w:ascii="Symbol" w:hAnsi="Symbol" w:hint="default"/>
      </w:rPr>
    </w:lvl>
    <w:lvl w:ilvl="1" w:tplc="04090003" w:tentative="1">
      <w:start w:val="1"/>
      <w:numFmt w:val="bullet"/>
      <w:lvlText w:val="o"/>
      <w:lvlJc w:val="left"/>
      <w:pPr>
        <w:ind w:left="5148" w:hanging="360"/>
      </w:pPr>
      <w:rPr>
        <w:rFonts w:ascii="Courier New" w:hAnsi="Courier New" w:hint="default"/>
      </w:rPr>
    </w:lvl>
    <w:lvl w:ilvl="2" w:tplc="04090005" w:tentative="1">
      <w:start w:val="1"/>
      <w:numFmt w:val="bullet"/>
      <w:lvlText w:val=""/>
      <w:lvlJc w:val="left"/>
      <w:pPr>
        <w:ind w:left="5868" w:hanging="360"/>
      </w:pPr>
      <w:rPr>
        <w:rFonts w:ascii="Wingdings" w:hAnsi="Wingdings" w:hint="default"/>
      </w:rPr>
    </w:lvl>
    <w:lvl w:ilvl="3" w:tplc="04090001" w:tentative="1">
      <w:start w:val="1"/>
      <w:numFmt w:val="bullet"/>
      <w:lvlText w:val=""/>
      <w:lvlJc w:val="left"/>
      <w:pPr>
        <w:ind w:left="6588" w:hanging="360"/>
      </w:pPr>
      <w:rPr>
        <w:rFonts w:ascii="Symbol" w:hAnsi="Symbol" w:hint="default"/>
      </w:rPr>
    </w:lvl>
    <w:lvl w:ilvl="4" w:tplc="04090003" w:tentative="1">
      <w:start w:val="1"/>
      <w:numFmt w:val="bullet"/>
      <w:lvlText w:val="o"/>
      <w:lvlJc w:val="left"/>
      <w:pPr>
        <w:ind w:left="7308" w:hanging="360"/>
      </w:pPr>
      <w:rPr>
        <w:rFonts w:ascii="Courier New" w:hAnsi="Courier New" w:hint="default"/>
      </w:rPr>
    </w:lvl>
    <w:lvl w:ilvl="5" w:tplc="04090005" w:tentative="1">
      <w:start w:val="1"/>
      <w:numFmt w:val="bullet"/>
      <w:lvlText w:val=""/>
      <w:lvlJc w:val="left"/>
      <w:pPr>
        <w:ind w:left="8028" w:hanging="360"/>
      </w:pPr>
      <w:rPr>
        <w:rFonts w:ascii="Wingdings" w:hAnsi="Wingdings" w:hint="default"/>
      </w:rPr>
    </w:lvl>
    <w:lvl w:ilvl="6" w:tplc="04090001" w:tentative="1">
      <w:start w:val="1"/>
      <w:numFmt w:val="bullet"/>
      <w:lvlText w:val=""/>
      <w:lvlJc w:val="left"/>
      <w:pPr>
        <w:ind w:left="8748" w:hanging="360"/>
      </w:pPr>
      <w:rPr>
        <w:rFonts w:ascii="Symbol" w:hAnsi="Symbol" w:hint="default"/>
      </w:rPr>
    </w:lvl>
    <w:lvl w:ilvl="7" w:tplc="04090003" w:tentative="1">
      <w:start w:val="1"/>
      <w:numFmt w:val="bullet"/>
      <w:lvlText w:val="o"/>
      <w:lvlJc w:val="left"/>
      <w:pPr>
        <w:ind w:left="9468" w:hanging="360"/>
      </w:pPr>
      <w:rPr>
        <w:rFonts w:ascii="Courier New" w:hAnsi="Courier New" w:hint="default"/>
      </w:rPr>
    </w:lvl>
    <w:lvl w:ilvl="8" w:tplc="04090005" w:tentative="1">
      <w:start w:val="1"/>
      <w:numFmt w:val="bullet"/>
      <w:lvlText w:val=""/>
      <w:lvlJc w:val="left"/>
      <w:pPr>
        <w:ind w:left="10188" w:hanging="360"/>
      </w:pPr>
      <w:rPr>
        <w:rFonts w:ascii="Wingdings" w:hAnsi="Wingdings" w:hint="default"/>
      </w:rPr>
    </w:lvl>
  </w:abstractNum>
  <w:abstractNum w:abstractNumId="1">
    <w:nsid w:val="2D0024F1"/>
    <w:multiLevelType w:val="hybridMultilevel"/>
    <w:tmpl w:val="E72E69A4"/>
    <w:lvl w:ilvl="0" w:tplc="B462A6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E61E8A"/>
    <w:multiLevelType w:val="hybridMultilevel"/>
    <w:tmpl w:val="234806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5E07269"/>
    <w:multiLevelType w:val="hybridMultilevel"/>
    <w:tmpl w:val="5440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DF"/>
    <w:rsid w:val="000047CA"/>
    <w:rsid w:val="00005929"/>
    <w:rsid w:val="000534E8"/>
    <w:rsid w:val="00082E68"/>
    <w:rsid w:val="000C0006"/>
    <w:rsid w:val="000E1D39"/>
    <w:rsid w:val="000F2B12"/>
    <w:rsid w:val="000F46EA"/>
    <w:rsid w:val="001044E7"/>
    <w:rsid w:val="00131CC3"/>
    <w:rsid w:val="00137EBE"/>
    <w:rsid w:val="00154B06"/>
    <w:rsid w:val="001B3054"/>
    <w:rsid w:val="001C34DF"/>
    <w:rsid w:val="001D4341"/>
    <w:rsid w:val="00220DA3"/>
    <w:rsid w:val="00225ECB"/>
    <w:rsid w:val="0023251F"/>
    <w:rsid w:val="002339BF"/>
    <w:rsid w:val="00296880"/>
    <w:rsid w:val="002E47AB"/>
    <w:rsid w:val="00301574"/>
    <w:rsid w:val="00341BF4"/>
    <w:rsid w:val="00345DC3"/>
    <w:rsid w:val="00355D38"/>
    <w:rsid w:val="00357F39"/>
    <w:rsid w:val="00363CDD"/>
    <w:rsid w:val="00383558"/>
    <w:rsid w:val="00384AED"/>
    <w:rsid w:val="003851E5"/>
    <w:rsid w:val="00385502"/>
    <w:rsid w:val="003A5C40"/>
    <w:rsid w:val="003A6CF7"/>
    <w:rsid w:val="003D39A6"/>
    <w:rsid w:val="003F6720"/>
    <w:rsid w:val="00416545"/>
    <w:rsid w:val="0045387D"/>
    <w:rsid w:val="004B5D76"/>
    <w:rsid w:val="00595A84"/>
    <w:rsid w:val="0059618F"/>
    <w:rsid w:val="005C2B5F"/>
    <w:rsid w:val="00611B87"/>
    <w:rsid w:val="00616C67"/>
    <w:rsid w:val="0062268E"/>
    <w:rsid w:val="00647407"/>
    <w:rsid w:val="00654694"/>
    <w:rsid w:val="00660267"/>
    <w:rsid w:val="006B0285"/>
    <w:rsid w:val="006E5C54"/>
    <w:rsid w:val="006F3C42"/>
    <w:rsid w:val="007071B7"/>
    <w:rsid w:val="00750105"/>
    <w:rsid w:val="00753F84"/>
    <w:rsid w:val="00760F8D"/>
    <w:rsid w:val="0079311B"/>
    <w:rsid w:val="007A4A6D"/>
    <w:rsid w:val="007D25BE"/>
    <w:rsid w:val="008051E3"/>
    <w:rsid w:val="00823DC3"/>
    <w:rsid w:val="008241B8"/>
    <w:rsid w:val="008812D3"/>
    <w:rsid w:val="0088291C"/>
    <w:rsid w:val="008B0308"/>
    <w:rsid w:val="008F4817"/>
    <w:rsid w:val="00917F61"/>
    <w:rsid w:val="0092367B"/>
    <w:rsid w:val="00924292"/>
    <w:rsid w:val="009265E0"/>
    <w:rsid w:val="00937F1E"/>
    <w:rsid w:val="00962FD3"/>
    <w:rsid w:val="009A59FC"/>
    <w:rsid w:val="009D4433"/>
    <w:rsid w:val="00A50C5A"/>
    <w:rsid w:val="00A8461A"/>
    <w:rsid w:val="00AF7E79"/>
    <w:rsid w:val="00B07660"/>
    <w:rsid w:val="00B16A1A"/>
    <w:rsid w:val="00B463AF"/>
    <w:rsid w:val="00B539FC"/>
    <w:rsid w:val="00B947C0"/>
    <w:rsid w:val="00BA620B"/>
    <w:rsid w:val="00BE1261"/>
    <w:rsid w:val="00C028BC"/>
    <w:rsid w:val="00C37EAE"/>
    <w:rsid w:val="00C513AA"/>
    <w:rsid w:val="00C6196D"/>
    <w:rsid w:val="00C62931"/>
    <w:rsid w:val="00C80702"/>
    <w:rsid w:val="00CE0E7D"/>
    <w:rsid w:val="00D007E6"/>
    <w:rsid w:val="00D0662C"/>
    <w:rsid w:val="00D12BD8"/>
    <w:rsid w:val="00D2020F"/>
    <w:rsid w:val="00D60670"/>
    <w:rsid w:val="00D82928"/>
    <w:rsid w:val="00DA10C2"/>
    <w:rsid w:val="00DC778E"/>
    <w:rsid w:val="00DF2E3A"/>
    <w:rsid w:val="00E104D4"/>
    <w:rsid w:val="00E20B4F"/>
    <w:rsid w:val="00E84238"/>
    <w:rsid w:val="00EC5CBD"/>
    <w:rsid w:val="00ED5CCF"/>
    <w:rsid w:val="00EF1B6B"/>
    <w:rsid w:val="00F5390D"/>
    <w:rsid w:val="00FA4B32"/>
    <w:rsid w:val="00FE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F9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4694"/>
    <w:pPr>
      <w:keepNext/>
      <w:ind w:hanging="567"/>
      <w:outlineLvl w:val="0"/>
    </w:pPr>
    <w:rPr>
      <w:rFonts w:ascii="Calibri" w:hAnsi="Calibri" w:cs="Calibri"/>
      <w:b/>
      <w:bCs/>
      <w:color w:val="00B050"/>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3AA"/>
    <w:rPr>
      <w:rFonts w:ascii="Arial" w:hAnsi="Arial" w:cs="Arial"/>
      <w:sz w:val="20"/>
    </w:rPr>
  </w:style>
  <w:style w:type="character" w:styleId="Hyperlink">
    <w:name w:val="Hyperlink"/>
    <w:basedOn w:val="DefaultParagraphFont"/>
    <w:uiPriority w:val="99"/>
    <w:unhideWhenUsed/>
    <w:rsid w:val="001C34DF"/>
    <w:rPr>
      <w:color w:val="0000FF" w:themeColor="hyperlink"/>
      <w:u w:val="single"/>
    </w:rPr>
  </w:style>
  <w:style w:type="paragraph" w:styleId="BalloonText">
    <w:name w:val="Balloon Text"/>
    <w:basedOn w:val="Normal"/>
    <w:link w:val="BalloonTextChar"/>
    <w:uiPriority w:val="99"/>
    <w:semiHidden/>
    <w:unhideWhenUsed/>
    <w:rsid w:val="00B539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9F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ListParagraph">
    <w:name w:val="List Paragraph"/>
    <w:basedOn w:val="Normal"/>
    <w:uiPriority w:val="34"/>
    <w:qFormat/>
    <w:rsid w:val="009A59FC"/>
    <w:pPr>
      <w:ind w:left="720"/>
      <w:contextualSpacing/>
    </w:pPr>
  </w:style>
  <w:style w:type="paragraph" w:styleId="Header">
    <w:name w:val="header"/>
    <w:basedOn w:val="Normal"/>
    <w:link w:val="HeaderChar"/>
    <w:uiPriority w:val="99"/>
    <w:unhideWhenUsed/>
    <w:rsid w:val="00384AED"/>
    <w:pPr>
      <w:tabs>
        <w:tab w:val="center" w:pos="4513"/>
        <w:tab w:val="right" w:pos="9026"/>
      </w:tabs>
    </w:pPr>
  </w:style>
  <w:style w:type="character" w:customStyle="1" w:styleId="HeaderChar">
    <w:name w:val="Header Char"/>
    <w:basedOn w:val="DefaultParagraphFont"/>
    <w:link w:val="Header"/>
    <w:uiPriority w:val="99"/>
    <w:rsid w:val="00384AED"/>
    <w:rPr>
      <w:lang w:val="en-GB"/>
    </w:rPr>
  </w:style>
  <w:style w:type="paragraph" w:styleId="Footer">
    <w:name w:val="footer"/>
    <w:basedOn w:val="Normal"/>
    <w:link w:val="FooterChar"/>
    <w:uiPriority w:val="99"/>
    <w:unhideWhenUsed/>
    <w:rsid w:val="00384AED"/>
    <w:pPr>
      <w:tabs>
        <w:tab w:val="center" w:pos="4513"/>
        <w:tab w:val="right" w:pos="9026"/>
      </w:tabs>
    </w:pPr>
  </w:style>
  <w:style w:type="character" w:customStyle="1" w:styleId="FooterChar">
    <w:name w:val="Footer Char"/>
    <w:basedOn w:val="DefaultParagraphFont"/>
    <w:link w:val="Footer"/>
    <w:uiPriority w:val="99"/>
    <w:rsid w:val="00384AED"/>
    <w:rPr>
      <w:lang w:val="en-GB"/>
    </w:rPr>
  </w:style>
  <w:style w:type="character" w:customStyle="1" w:styleId="Heading1Char">
    <w:name w:val="Heading 1 Char"/>
    <w:basedOn w:val="DefaultParagraphFont"/>
    <w:link w:val="Heading1"/>
    <w:uiPriority w:val="9"/>
    <w:rsid w:val="00654694"/>
    <w:rPr>
      <w:rFonts w:ascii="Calibri" w:hAnsi="Calibri" w:cs="Calibri"/>
      <w:b/>
      <w:bCs/>
      <w:color w:val="00B05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4694"/>
    <w:pPr>
      <w:keepNext/>
      <w:ind w:hanging="567"/>
      <w:outlineLvl w:val="0"/>
    </w:pPr>
    <w:rPr>
      <w:rFonts w:ascii="Calibri" w:hAnsi="Calibri" w:cs="Calibri"/>
      <w:b/>
      <w:bCs/>
      <w:color w:val="00B050"/>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3AA"/>
    <w:rPr>
      <w:rFonts w:ascii="Arial" w:hAnsi="Arial" w:cs="Arial"/>
      <w:sz w:val="20"/>
    </w:rPr>
  </w:style>
  <w:style w:type="character" w:styleId="Hyperlink">
    <w:name w:val="Hyperlink"/>
    <w:basedOn w:val="DefaultParagraphFont"/>
    <w:uiPriority w:val="99"/>
    <w:unhideWhenUsed/>
    <w:rsid w:val="001C34DF"/>
    <w:rPr>
      <w:color w:val="0000FF" w:themeColor="hyperlink"/>
      <w:u w:val="single"/>
    </w:rPr>
  </w:style>
  <w:style w:type="paragraph" w:styleId="BalloonText">
    <w:name w:val="Balloon Text"/>
    <w:basedOn w:val="Normal"/>
    <w:link w:val="BalloonTextChar"/>
    <w:uiPriority w:val="99"/>
    <w:semiHidden/>
    <w:unhideWhenUsed/>
    <w:rsid w:val="00B539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9F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ListParagraph">
    <w:name w:val="List Paragraph"/>
    <w:basedOn w:val="Normal"/>
    <w:uiPriority w:val="34"/>
    <w:qFormat/>
    <w:rsid w:val="009A59FC"/>
    <w:pPr>
      <w:ind w:left="720"/>
      <w:contextualSpacing/>
    </w:pPr>
  </w:style>
  <w:style w:type="paragraph" w:styleId="Header">
    <w:name w:val="header"/>
    <w:basedOn w:val="Normal"/>
    <w:link w:val="HeaderChar"/>
    <w:uiPriority w:val="99"/>
    <w:unhideWhenUsed/>
    <w:rsid w:val="00384AED"/>
    <w:pPr>
      <w:tabs>
        <w:tab w:val="center" w:pos="4513"/>
        <w:tab w:val="right" w:pos="9026"/>
      </w:tabs>
    </w:pPr>
  </w:style>
  <w:style w:type="character" w:customStyle="1" w:styleId="HeaderChar">
    <w:name w:val="Header Char"/>
    <w:basedOn w:val="DefaultParagraphFont"/>
    <w:link w:val="Header"/>
    <w:uiPriority w:val="99"/>
    <w:rsid w:val="00384AED"/>
    <w:rPr>
      <w:lang w:val="en-GB"/>
    </w:rPr>
  </w:style>
  <w:style w:type="paragraph" w:styleId="Footer">
    <w:name w:val="footer"/>
    <w:basedOn w:val="Normal"/>
    <w:link w:val="FooterChar"/>
    <w:uiPriority w:val="99"/>
    <w:unhideWhenUsed/>
    <w:rsid w:val="00384AED"/>
    <w:pPr>
      <w:tabs>
        <w:tab w:val="center" w:pos="4513"/>
        <w:tab w:val="right" w:pos="9026"/>
      </w:tabs>
    </w:pPr>
  </w:style>
  <w:style w:type="character" w:customStyle="1" w:styleId="FooterChar">
    <w:name w:val="Footer Char"/>
    <w:basedOn w:val="DefaultParagraphFont"/>
    <w:link w:val="Footer"/>
    <w:uiPriority w:val="99"/>
    <w:rsid w:val="00384AED"/>
    <w:rPr>
      <w:lang w:val="en-GB"/>
    </w:rPr>
  </w:style>
  <w:style w:type="character" w:customStyle="1" w:styleId="Heading1Char">
    <w:name w:val="Heading 1 Char"/>
    <w:basedOn w:val="DefaultParagraphFont"/>
    <w:link w:val="Heading1"/>
    <w:uiPriority w:val="9"/>
    <w:rsid w:val="00654694"/>
    <w:rPr>
      <w:rFonts w:ascii="Calibri" w:hAnsi="Calibri" w:cs="Calibri"/>
      <w:b/>
      <w:bCs/>
      <w:color w:val="00B0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1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for.org/online-library/browse/view-publication/publication/2886.htm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cifor.org/online-library/browse/view-publication/publication/2886.html" TargetMode="External"/><Relationship Id="rId17" Type="http://schemas.openxmlformats.org/officeDocument/2006/relationships/image" Target="media/image2.jpeg"/><Relationship Id="rId25" Type="http://schemas.openxmlformats.org/officeDocument/2006/relationships/hyperlink" Target="http://www.transparency.org/programmes/detail/cgip" TargetMode="External"/><Relationship Id="rId2" Type="http://schemas.openxmlformats.org/officeDocument/2006/relationships/numbering" Target="numbering.xml"/><Relationship Id="rId16" Type="http://schemas.openxmlformats.org/officeDocument/2006/relationships/hyperlink" Target="http://www.globalwitness.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e.transparency.org/regional_pages/asia_pacific/transparency_international_in_vietnam" TargetMode="External"/><Relationship Id="rId24" Type="http://schemas.openxmlformats.org/officeDocument/2006/relationships/hyperlink" Target="http://www.transparency.org/whatwedo/tools/integrity_pacts" TargetMode="External"/><Relationship Id="rId5" Type="http://schemas.openxmlformats.org/officeDocument/2006/relationships/settings" Target="settings.xml"/><Relationship Id="rId15" Type="http://schemas.openxmlformats.org/officeDocument/2006/relationships/hyperlink" Target="http://www.transparency.org/whatwedo/pub/keeping_redd_clean" TargetMode="External"/><Relationship Id="rId23" Type="http://schemas.openxmlformats.org/officeDocument/2006/relationships/hyperlink" Target="http://www.transparency.org/getinvolved/report/" TargetMode="External"/><Relationship Id="rId10" Type="http://schemas.openxmlformats.org/officeDocument/2006/relationships/hyperlink" Target="http://www.transparencypng.org.pg"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ti.or.id/" TargetMode="Externa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678D-0182-4E06-8427-2DD3FDB2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Contact: </vt:lpstr>
      <vt:lpstr>Lisa Elges, Team Leader, Climate Finance Integrity Programme</vt:lpstr>
    </vt:vector>
  </TitlesOfParts>
  <Company>Transparency International</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Harrison</dc:creator>
  <cp:keywords/>
  <dc:description/>
  <cp:lastModifiedBy>Alice Harrison</cp:lastModifiedBy>
  <cp:revision>11</cp:revision>
  <dcterms:created xsi:type="dcterms:W3CDTF">2013-10-14T13:21:00Z</dcterms:created>
  <dcterms:modified xsi:type="dcterms:W3CDTF">2013-10-14T13:54:00Z</dcterms:modified>
</cp:coreProperties>
</file>