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1E16F8" w14:textId="77777777" w:rsidR="001504DE" w:rsidRPr="008F1D07" w:rsidRDefault="00821FC2" w:rsidP="008F1D07">
      <w:pPr>
        <w:pStyle w:val="Heading1"/>
        <w:rPr>
          <w:b/>
          <w:bCs/>
          <w:lang w:val="en-US"/>
        </w:rPr>
      </w:pPr>
      <w:r>
        <w:rPr>
          <w:b/>
          <w:bCs/>
          <w:lang w:val="en-US"/>
        </w:rPr>
        <w:t>Definitions and methodology for indicators in results reporting system for geographically specific bi-lateral and multi-bilateral agreements where education is the main component</w:t>
      </w:r>
      <w:r w:rsidR="00B87C08">
        <w:rPr>
          <w:rStyle w:val="FootnoteReference"/>
          <w:b/>
          <w:bCs/>
          <w:lang w:val="en-US"/>
        </w:rPr>
        <w:footnoteReference w:id="1"/>
      </w:r>
      <w:r w:rsidR="001504DE" w:rsidRPr="008F1D07">
        <w:rPr>
          <w:b/>
          <w:bCs/>
          <w:lang w:val="en-US"/>
        </w:rPr>
        <w:t xml:space="preserve">. </w:t>
      </w:r>
    </w:p>
    <w:p w14:paraId="1C63EFCD" w14:textId="77777777" w:rsidR="008F1D07" w:rsidRPr="008F1D07" w:rsidRDefault="008F1D07" w:rsidP="008F1D07">
      <w:pPr>
        <w:rPr>
          <w:lang w:val="en-US"/>
        </w:rPr>
      </w:pPr>
    </w:p>
    <w:p w14:paraId="40F35ECB" w14:textId="77777777" w:rsidR="00B87C08" w:rsidRDefault="001504DE">
      <w:pPr>
        <w:rPr>
          <w:lang w:val="en-US"/>
        </w:rPr>
      </w:pPr>
      <w:r>
        <w:rPr>
          <w:lang w:val="en-US"/>
        </w:rPr>
        <w:t>This document contains information on how to define and operationalise ind</w:t>
      </w:r>
      <w:r w:rsidR="00D33387">
        <w:rPr>
          <w:lang w:val="en-US"/>
        </w:rPr>
        <w:t xml:space="preserve">icators listed in </w:t>
      </w:r>
      <w:r>
        <w:rPr>
          <w:lang w:val="en-US"/>
        </w:rPr>
        <w:t>Menu of Indicators</w:t>
      </w:r>
      <w:r w:rsidR="00231C3F">
        <w:rPr>
          <w:lang w:val="en-US"/>
        </w:rPr>
        <w:t xml:space="preserve"> that is part of the </w:t>
      </w:r>
      <w:r w:rsidR="00821FC2">
        <w:rPr>
          <w:lang w:val="en-US"/>
        </w:rPr>
        <w:t>r</w:t>
      </w:r>
      <w:r w:rsidR="00D33387">
        <w:rPr>
          <w:lang w:val="en-US"/>
        </w:rPr>
        <w:t>esults r</w:t>
      </w:r>
      <w:r w:rsidR="00231C3F">
        <w:rPr>
          <w:lang w:val="en-US"/>
        </w:rPr>
        <w:t>eporting system</w:t>
      </w:r>
      <w:r>
        <w:rPr>
          <w:lang w:val="en-US"/>
        </w:rPr>
        <w:t xml:space="preserve"> for</w:t>
      </w:r>
      <w:r w:rsidR="00D33387">
        <w:rPr>
          <w:lang w:val="en-US"/>
        </w:rPr>
        <w:t xml:space="preserve"> geographically specific</w:t>
      </w:r>
      <w:r>
        <w:rPr>
          <w:lang w:val="en-US"/>
        </w:rPr>
        <w:t xml:space="preserve"> </w:t>
      </w:r>
      <w:r w:rsidR="00D33387">
        <w:rPr>
          <w:lang w:val="en-US"/>
        </w:rPr>
        <w:t>bi-lateral and multi-bilateral</w:t>
      </w:r>
      <w:r w:rsidR="001033A0">
        <w:rPr>
          <w:lang w:val="en-US"/>
        </w:rPr>
        <w:t xml:space="preserve"> agreements where education is the main component. </w:t>
      </w:r>
      <w:r w:rsidR="00B87C08">
        <w:rPr>
          <w:lang w:val="en-US"/>
        </w:rPr>
        <w:t>The purpose of the document is to provide additional guidance, where needed, to partners using the results</w:t>
      </w:r>
      <w:r w:rsidR="001033A0">
        <w:rPr>
          <w:lang w:val="en-US"/>
        </w:rPr>
        <w:t xml:space="preserve"> </w:t>
      </w:r>
      <w:r w:rsidR="00B87C08">
        <w:rPr>
          <w:lang w:val="en-US"/>
        </w:rPr>
        <w:t>reporting system</w:t>
      </w:r>
      <w:r w:rsidR="001033A0">
        <w:rPr>
          <w:lang w:val="en-US"/>
        </w:rPr>
        <w:t>.</w:t>
      </w:r>
      <w:r w:rsidR="00B87C08">
        <w:rPr>
          <w:lang w:val="en-US"/>
        </w:rPr>
        <w:t xml:space="preserve"> </w:t>
      </w:r>
    </w:p>
    <w:p w14:paraId="53886AFC" w14:textId="77777777" w:rsidR="001504DE" w:rsidRDefault="001504DE">
      <w:pPr>
        <w:rPr>
          <w:lang w:val="en-US"/>
        </w:rPr>
      </w:pPr>
      <w:r>
        <w:rPr>
          <w:lang w:val="en-US"/>
        </w:rPr>
        <w:t xml:space="preserve">Baselines </w:t>
      </w:r>
      <w:r w:rsidR="00135B6C">
        <w:rPr>
          <w:lang w:val="en-US"/>
        </w:rPr>
        <w:t xml:space="preserve">and targets </w:t>
      </w:r>
      <w:r w:rsidR="002C4713">
        <w:rPr>
          <w:lang w:val="en-US"/>
        </w:rPr>
        <w:t xml:space="preserve">for the Norwegian Government’s White Paper ‘Education for Development’ </w:t>
      </w:r>
      <w:r>
        <w:rPr>
          <w:lang w:val="en-US"/>
        </w:rPr>
        <w:t>will be set based upon numbers report</w:t>
      </w:r>
      <w:r w:rsidR="00135B6C">
        <w:rPr>
          <w:lang w:val="en-US"/>
        </w:rPr>
        <w:t>ed by partners during the two first years of the menu’s use.</w:t>
      </w:r>
      <w:r w:rsidR="002C4713">
        <w:rPr>
          <w:lang w:val="en-US"/>
        </w:rPr>
        <w:t xml:space="preserve"> </w:t>
      </w:r>
      <w:r w:rsidR="00135B6C">
        <w:rPr>
          <w:lang w:val="en-US"/>
        </w:rPr>
        <w:t xml:space="preserve">MFA and Norad will then also consider if baselines and targets will be set for all indicators in the menu or only a selection, like for example, the core indicators. </w:t>
      </w:r>
      <w:r w:rsidR="002C4713">
        <w:rPr>
          <w:lang w:val="en-US"/>
        </w:rPr>
        <w:t>Partners will as usual have to establish baselines for each individual agreement within timelines stipulated for that particular agreement.</w:t>
      </w:r>
    </w:p>
    <w:p w14:paraId="337D2C33" w14:textId="77777777" w:rsidR="0080742F" w:rsidRPr="00A63EC0" w:rsidRDefault="0080742F" w:rsidP="0080742F">
      <w:pPr>
        <w:rPr>
          <w:b/>
          <w:lang w:val="en-US"/>
        </w:rPr>
      </w:pPr>
      <w:r w:rsidRPr="00A63EC0">
        <w:rPr>
          <w:b/>
          <w:lang w:val="en-US"/>
        </w:rPr>
        <w:t xml:space="preserve">Note on </w:t>
      </w:r>
      <w:r>
        <w:rPr>
          <w:b/>
          <w:lang w:val="en-US"/>
        </w:rPr>
        <w:t>reporting years</w:t>
      </w:r>
    </w:p>
    <w:p w14:paraId="64157485" w14:textId="77777777" w:rsidR="00B80B52" w:rsidRDefault="0080742F">
      <w:pPr>
        <w:rPr>
          <w:lang w:val="en-US"/>
        </w:rPr>
      </w:pPr>
      <w:r>
        <w:rPr>
          <w:lang w:val="en-US"/>
        </w:rPr>
        <w:t>Reporting is annual (calendar year). For agreements of 12 months or less that span two calendar years, report the results against the calendar year in which the agreement reached completion.</w:t>
      </w:r>
    </w:p>
    <w:p w14:paraId="262403E9" w14:textId="77777777" w:rsidR="0080742F" w:rsidRDefault="0080742F" w:rsidP="0080742F">
      <w:pPr>
        <w:rPr>
          <w:bCs/>
          <w:lang w:val="en-US"/>
        </w:rPr>
      </w:pPr>
      <w:r>
        <w:rPr>
          <w:lang w:val="en-US"/>
        </w:rPr>
        <w:t>Some indicators are “stock” indicators and give status of a variable at a point in time-e.g</w:t>
      </w:r>
      <w:r w:rsidRPr="001F4342">
        <w:rPr>
          <w:lang w:val="en-US"/>
        </w:rPr>
        <w:t xml:space="preserve">.  </w:t>
      </w:r>
      <w:r w:rsidRPr="001F4342">
        <w:rPr>
          <w:bCs/>
          <w:lang w:val="en-US"/>
        </w:rPr>
        <w:t># of students (F/M) enrolled in target educational institutions. The</w:t>
      </w:r>
      <w:r>
        <w:rPr>
          <w:bCs/>
          <w:lang w:val="en-US"/>
        </w:rPr>
        <w:t xml:space="preserve"> results for these</w:t>
      </w:r>
      <w:r w:rsidRPr="001F4342">
        <w:rPr>
          <w:bCs/>
          <w:lang w:val="en-US"/>
        </w:rPr>
        <w:t xml:space="preserve"> indicators cannot be cumulated</w:t>
      </w:r>
      <w:r>
        <w:rPr>
          <w:bCs/>
          <w:lang w:val="en-US"/>
        </w:rPr>
        <w:t xml:space="preserve"> across years. Other indicators (</w:t>
      </w:r>
      <w:r w:rsidRPr="00C615F6">
        <w:rPr>
          <w:bCs/>
          <w:lang w:val="en-US"/>
        </w:rPr>
        <w:t>e.g.  # of classrooms constructed or rehabilitated) can be accumulated</w:t>
      </w:r>
      <w:r>
        <w:rPr>
          <w:bCs/>
          <w:lang w:val="en-US"/>
        </w:rPr>
        <w:t xml:space="preserve"> year on year. See each indicator for more specific guidance. </w:t>
      </w:r>
    </w:p>
    <w:p w14:paraId="4EB6C335" w14:textId="77777777" w:rsidR="0080742F" w:rsidRDefault="0080742F">
      <w:pPr>
        <w:rPr>
          <w:lang w:val="en-US"/>
        </w:rPr>
      </w:pPr>
    </w:p>
    <w:tbl>
      <w:tblPr>
        <w:tblStyle w:val="TableGrid"/>
        <w:tblW w:w="15304" w:type="dxa"/>
        <w:tblLook w:val="04A0" w:firstRow="1" w:lastRow="0" w:firstColumn="1" w:lastColumn="0" w:noHBand="0" w:noVBand="1"/>
      </w:tblPr>
      <w:tblGrid>
        <w:gridCol w:w="15304"/>
      </w:tblGrid>
      <w:tr w:rsidR="007A10E6" w:rsidRPr="00D33387" w14:paraId="3FD768A9" w14:textId="77777777" w:rsidTr="004A5F62">
        <w:tc>
          <w:tcPr>
            <w:tcW w:w="15304" w:type="dxa"/>
            <w:shd w:val="clear" w:color="auto" w:fill="BFBFBF" w:themeFill="background1" w:themeFillShade="BF"/>
          </w:tcPr>
          <w:p w14:paraId="546B9F9F" w14:textId="77777777" w:rsidR="007A10E6" w:rsidRPr="004A5F62" w:rsidRDefault="007A10E6" w:rsidP="00E47D8F">
            <w:pPr>
              <w:jc w:val="center"/>
              <w:rPr>
                <w:b/>
                <w:bCs/>
                <w:highlight w:val="lightGray"/>
                <w:lang w:val="en-US"/>
              </w:rPr>
            </w:pPr>
            <w:r w:rsidRPr="00E47D8F">
              <w:rPr>
                <w:b/>
                <w:bCs/>
                <w:lang w:val="en-US"/>
              </w:rPr>
              <w:t xml:space="preserve">Definitions relevant to </w:t>
            </w:r>
            <w:r w:rsidR="00E47D8F" w:rsidRPr="00E47D8F">
              <w:rPr>
                <w:b/>
                <w:bCs/>
                <w:lang w:val="en-US"/>
              </w:rPr>
              <w:t xml:space="preserve">multiple </w:t>
            </w:r>
            <w:r w:rsidR="00F83888" w:rsidRPr="00E47D8F">
              <w:rPr>
                <w:b/>
                <w:bCs/>
                <w:lang w:val="en-US"/>
              </w:rPr>
              <w:t>indicators</w:t>
            </w:r>
            <w:r w:rsidRPr="00E47D8F">
              <w:rPr>
                <w:b/>
                <w:bCs/>
                <w:lang w:val="en-US"/>
              </w:rPr>
              <w:t xml:space="preserve">: </w:t>
            </w:r>
          </w:p>
        </w:tc>
      </w:tr>
      <w:tr w:rsidR="007A10E6" w:rsidRPr="00D33387" w14:paraId="4A30011F" w14:textId="77777777" w:rsidTr="007A10E6">
        <w:tc>
          <w:tcPr>
            <w:tcW w:w="15304" w:type="dxa"/>
            <w:shd w:val="clear" w:color="auto" w:fill="FFFFFF" w:themeFill="background1"/>
          </w:tcPr>
          <w:p w14:paraId="45D6E353" w14:textId="77777777" w:rsidR="007A10E6" w:rsidRPr="0043511E" w:rsidRDefault="007A10E6" w:rsidP="007A10E6">
            <w:pPr>
              <w:rPr>
                <w:b/>
                <w:bCs/>
                <w:lang w:val="en-US"/>
              </w:rPr>
            </w:pPr>
            <w:r w:rsidRPr="0043511E">
              <w:rPr>
                <w:b/>
                <w:bCs/>
                <w:lang w:val="en-US"/>
              </w:rPr>
              <w:t>Educational institutions:</w:t>
            </w:r>
          </w:p>
          <w:p w14:paraId="5FDBCF60" w14:textId="77777777" w:rsidR="007A10E6" w:rsidRPr="0043511E" w:rsidRDefault="007A10E6" w:rsidP="007A10E6">
            <w:pPr>
              <w:rPr>
                <w:lang w:val="en-US"/>
              </w:rPr>
            </w:pPr>
            <w:r w:rsidRPr="0043511E">
              <w:rPr>
                <w:lang w:val="en-US"/>
              </w:rPr>
              <w:t>Defined as entities that provide instructional services to individuals or education-related services to individuals</w:t>
            </w:r>
            <w:r w:rsidR="001033A0">
              <w:rPr>
                <w:lang w:val="en-US"/>
              </w:rPr>
              <w:t>.</w:t>
            </w:r>
            <w:r w:rsidRPr="0043511E">
              <w:rPr>
                <w:lang w:val="en-US"/>
              </w:rPr>
              <w:t xml:space="preserve"> The institutions can be formal and non-formal. Whether or not an entity qualifies as an educational institution is not contingent upon which public authority (if any) has responsibility for it. For example, tertiary institutions are classified as educational institutions regardless of which ministry or other authority may have ultimate responsibility for them</w:t>
            </w:r>
            <w:r w:rsidRPr="0043511E">
              <w:rPr>
                <w:rStyle w:val="FootnoteReference"/>
                <w:lang w:val="en-US"/>
              </w:rPr>
              <w:footnoteReference w:id="2"/>
            </w:r>
            <w:r w:rsidRPr="0043511E">
              <w:rPr>
                <w:lang w:val="en-US"/>
              </w:rPr>
              <w:t xml:space="preserve">.  </w:t>
            </w:r>
          </w:p>
          <w:p w14:paraId="0EAF891E" w14:textId="77777777" w:rsidR="007A10E6" w:rsidRPr="0043511E" w:rsidRDefault="007A10E6" w:rsidP="007A10E6">
            <w:pPr>
              <w:rPr>
                <w:lang w:val="en-US"/>
              </w:rPr>
            </w:pPr>
          </w:p>
          <w:p w14:paraId="7F2C054F" w14:textId="77777777" w:rsidR="007A10E6" w:rsidRPr="0043511E" w:rsidRDefault="007A10E6" w:rsidP="007A10E6">
            <w:pPr>
              <w:rPr>
                <w:b/>
                <w:bCs/>
                <w:lang w:val="en-US"/>
              </w:rPr>
            </w:pPr>
            <w:r w:rsidRPr="0043511E">
              <w:rPr>
                <w:b/>
                <w:bCs/>
                <w:lang w:val="en-US"/>
              </w:rPr>
              <w:t>Type of marginalisation (CWD, Minori</w:t>
            </w:r>
            <w:r w:rsidR="002B6843">
              <w:rPr>
                <w:b/>
                <w:bCs/>
                <w:lang w:val="en-US"/>
              </w:rPr>
              <w:t>ties, Orphans,</w:t>
            </w:r>
            <w:r w:rsidRPr="0043511E">
              <w:rPr>
                <w:b/>
                <w:bCs/>
                <w:lang w:val="en-US"/>
              </w:rPr>
              <w:t xml:space="preserve"> etc.): </w:t>
            </w:r>
          </w:p>
          <w:p w14:paraId="56D4977E" w14:textId="77777777" w:rsidR="002B6843" w:rsidRPr="002B6843" w:rsidRDefault="002B6843" w:rsidP="00E12802">
            <w:pPr>
              <w:rPr>
                <w:lang w:val="en-US"/>
              </w:rPr>
            </w:pPr>
            <w:r>
              <w:rPr>
                <w:lang w:val="en-US"/>
              </w:rPr>
              <w:t>The groups listed below are generally accepted at marginalized regardless of context. In addition, p</w:t>
            </w:r>
            <w:r w:rsidRPr="002B6843">
              <w:rPr>
                <w:lang w:val="en-US"/>
              </w:rPr>
              <w:t>artners are en</w:t>
            </w:r>
            <w:r>
              <w:rPr>
                <w:lang w:val="en-US"/>
              </w:rPr>
              <w:t>couraged to add disaggregation for</w:t>
            </w:r>
            <w:r w:rsidRPr="002B6843">
              <w:rPr>
                <w:lang w:val="en-US"/>
              </w:rPr>
              <w:t xml:space="preserve"> groups that are particularly marginalized in the context that they are working. </w:t>
            </w:r>
          </w:p>
          <w:p w14:paraId="34C496EA" w14:textId="77777777" w:rsidR="007A10E6" w:rsidRPr="0043511E" w:rsidRDefault="007A10E6" w:rsidP="00E12802">
            <w:pPr>
              <w:rPr>
                <w:lang w:val="en-US"/>
              </w:rPr>
            </w:pPr>
            <w:r w:rsidRPr="0043511E">
              <w:rPr>
                <w:b/>
                <w:bCs/>
                <w:lang w:val="en-US"/>
              </w:rPr>
              <w:t>Disabilit</w:t>
            </w:r>
            <w:r w:rsidR="00E12802" w:rsidRPr="0043511E">
              <w:rPr>
                <w:b/>
                <w:bCs/>
                <w:lang w:val="en-US"/>
              </w:rPr>
              <w:t>y</w:t>
            </w:r>
            <w:r w:rsidRPr="0043511E">
              <w:rPr>
                <w:b/>
                <w:bCs/>
                <w:lang w:val="en-US"/>
              </w:rPr>
              <w:t>:</w:t>
            </w:r>
            <w:r w:rsidRPr="0043511E">
              <w:rPr>
                <w:lang w:val="en-US"/>
              </w:rPr>
              <w:t xml:space="preserve"> Due to the lack of commonly agreed upon international defin</w:t>
            </w:r>
            <w:r w:rsidR="00E12802" w:rsidRPr="0043511E">
              <w:rPr>
                <w:lang w:val="en-US"/>
              </w:rPr>
              <w:t xml:space="preserve">itions and standards for identifying people with disabilities, particularly children, partners are encouraged to themselves identify definitions and tools to use to enable disaggregation. </w:t>
            </w:r>
          </w:p>
          <w:p w14:paraId="74DE5630" w14:textId="77777777" w:rsidR="00E12802" w:rsidRPr="0043511E" w:rsidRDefault="00E12802" w:rsidP="00E12802">
            <w:pPr>
              <w:rPr>
                <w:rFonts w:eastAsia="Times New Roman" w:cs="Times New Roman"/>
                <w:lang w:val="en-US"/>
              </w:rPr>
            </w:pPr>
            <w:r w:rsidRPr="0043511E">
              <w:rPr>
                <w:b/>
                <w:bCs/>
                <w:lang w:val="en-US"/>
              </w:rPr>
              <w:t>Minority:</w:t>
            </w:r>
            <w:r w:rsidRPr="0043511E">
              <w:rPr>
                <w:lang w:val="en-US"/>
              </w:rPr>
              <w:t xml:space="preserve"> </w:t>
            </w:r>
            <w:r w:rsidR="001A51DF" w:rsidRPr="0043511E">
              <w:rPr>
                <w:rFonts w:eastAsia="Times New Roman" w:cs="Times New Roman"/>
                <w:lang w:val="en-US"/>
              </w:rPr>
              <w:t>Groups will vary pending context. A racial, ethnic, religious, or social subdivision of a society that is subordinate to the dominant group in political, financial, or social power without regard to the size of these groups.</w:t>
            </w:r>
          </w:p>
          <w:p w14:paraId="109D5EB6" w14:textId="77777777" w:rsidR="0043511E" w:rsidRDefault="0043511E" w:rsidP="0043511E">
            <w:pPr>
              <w:rPr>
                <w:lang w:val="en-US"/>
              </w:rPr>
            </w:pPr>
            <w:r w:rsidRPr="0043511E">
              <w:rPr>
                <w:rFonts w:eastAsia="Times New Roman" w:cs="Times New Roman"/>
                <w:b/>
                <w:bCs/>
                <w:lang w:val="en-US"/>
              </w:rPr>
              <w:t>Orphans:</w:t>
            </w:r>
            <w:r w:rsidRPr="0043511E">
              <w:rPr>
                <w:rFonts w:eastAsia="Times New Roman" w:cs="Times New Roman"/>
                <w:lang w:val="en-US"/>
              </w:rPr>
              <w:t xml:space="preserve"> A</w:t>
            </w:r>
            <w:r w:rsidR="001A51DF" w:rsidRPr="0043511E">
              <w:rPr>
                <w:lang w:val="en-US"/>
              </w:rPr>
              <w:t xml:space="preserve"> child who has lost one or both parents</w:t>
            </w:r>
            <w:r w:rsidRPr="0043511E">
              <w:rPr>
                <w:lang w:val="en-US"/>
              </w:rPr>
              <w:t>.</w:t>
            </w:r>
          </w:p>
          <w:p w14:paraId="0047158F" w14:textId="77777777" w:rsidR="00B97B09" w:rsidRPr="00B97B09" w:rsidRDefault="00B97B09" w:rsidP="00B97B09">
            <w:pPr>
              <w:rPr>
                <w:lang w:val="en-US"/>
              </w:rPr>
            </w:pPr>
            <w:r w:rsidRPr="00FA6808">
              <w:rPr>
                <w:b/>
                <w:bCs/>
                <w:lang w:val="en-US"/>
              </w:rPr>
              <w:t>Refugee:</w:t>
            </w:r>
            <w:r>
              <w:rPr>
                <w:lang w:val="en-US"/>
              </w:rPr>
              <w:t xml:space="preserve"> A child residing in a refugee camp</w:t>
            </w:r>
            <w:r>
              <w:rPr>
                <w:rStyle w:val="FootnoteReference"/>
                <w:lang w:val="en-US"/>
              </w:rPr>
              <w:footnoteReference w:id="3"/>
            </w:r>
            <w:r>
              <w:rPr>
                <w:lang w:val="en-US"/>
              </w:rPr>
              <w:t>.</w:t>
            </w:r>
            <w:r w:rsidRPr="00B97B09">
              <w:rPr>
                <w:lang w:val="en-US"/>
              </w:rPr>
              <w:t xml:space="preserve"> </w:t>
            </w:r>
          </w:p>
          <w:p w14:paraId="4212AD38" w14:textId="77777777" w:rsidR="0043511E" w:rsidRDefault="0043511E" w:rsidP="0043511E">
            <w:pPr>
              <w:rPr>
                <w:lang w:val="en-US"/>
              </w:rPr>
            </w:pPr>
          </w:p>
          <w:p w14:paraId="618C25DE" w14:textId="77777777" w:rsidR="00B80B52" w:rsidRPr="008F1D07" w:rsidRDefault="00B80B52" w:rsidP="00B80B52">
            <w:pPr>
              <w:rPr>
                <w:b/>
                <w:bCs/>
                <w:lang w:val="en-US"/>
              </w:rPr>
            </w:pPr>
            <w:r w:rsidRPr="008F1D07">
              <w:rPr>
                <w:b/>
                <w:bCs/>
                <w:lang w:val="en-US"/>
              </w:rPr>
              <w:t>Non-formal</w:t>
            </w:r>
            <w:r>
              <w:rPr>
                <w:b/>
                <w:bCs/>
                <w:lang w:val="en-US"/>
              </w:rPr>
              <w:t xml:space="preserve"> education</w:t>
            </w:r>
            <w:r w:rsidRPr="008F1D07">
              <w:rPr>
                <w:b/>
                <w:bCs/>
                <w:lang w:val="en-US"/>
              </w:rPr>
              <w:t xml:space="preserve">: </w:t>
            </w:r>
          </w:p>
          <w:p w14:paraId="5895ACC9" w14:textId="77777777" w:rsidR="00B80B52" w:rsidRPr="00C6275A" w:rsidRDefault="00B80B52" w:rsidP="00B80B52">
            <w:pPr>
              <w:rPr>
                <w:rFonts w:cs="Arial"/>
                <w:color w:val="000000"/>
                <w:lang w:val="en-US"/>
              </w:rPr>
            </w:pPr>
            <w:r w:rsidRPr="00C6275A">
              <w:rPr>
                <w:rFonts w:cs="Arial"/>
                <w:color w:val="000000"/>
                <w:lang w:val="en-US"/>
              </w:rPr>
              <w:t>An addition, alternative and/or a complement to formal education within the process of the lifelong learning of individuals. It caters for people of all ages and does not necessarily apply a continuous pathway-structure; it may be short in duration a</w:t>
            </w:r>
            <w:r>
              <w:rPr>
                <w:rFonts w:cs="Arial"/>
                <w:color w:val="000000"/>
                <w:lang w:val="en-US"/>
              </w:rPr>
              <w:t>nd/or low intensity, and it is</w:t>
            </w:r>
            <w:r w:rsidRPr="00C6275A">
              <w:rPr>
                <w:rFonts w:cs="Arial"/>
                <w:color w:val="000000"/>
                <w:lang w:val="en-US"/>
              </w:rPr>
              <w:t xml:space="preserve"> provided in the form of short courses, workshops or seminars. Non-formal education mostly leads to qualifications that are not recognized as formal qualifications by the relevant national educational authorities or to no qualifications at all</w:t>
            </w:r>
            <w:r>
              <w:rPr>
                <w:rStyle w:val="FootnoteReference"/>
                <w:rFonts w:cs="Arial"/>
                <w:color w:val="000000"/>
                <w:lang w:val="en-US"/>
              </w:rPr>
              <w:footnoteReference w:id="4"/>
            </w:r>
            <w:r w:rsidRPr="00C6275A">
              <w:rPr>
                <w:rFonts w:cs="Arial"/>
                <w:color w:val="000000"/>
                <w:lang w:val="en-US"/>
              </w:rPr>
              <w:t xml:space="preserve">. </w:t>
            </w:r>
          </w:p>
          <w:p w14:paraId="01126D85" w14:textId="77777777" w:rsidR="00B80B52" w:rsidRDefault="00B80B52" w:rsidP="00B80B52">
            <w:pPr>
              <w:rPr>
                <w:b/>
                <w:bCs/>
                <w:lang w:val="en-US"/>
              </w:rPr>
            </w:pPr>
          </w:p>
          <w:p w14:paraId="3B003A45" w14:textId="77777777" w:rsidR="00B80B52" w:rsidRPr="00244CB4" w:rsidRDefault="00B80B52" w:rsidP="00B80B52">
            <w:pPr>
              <w:rPr>
                <w:b/>
                <w:bCs/>
                <w:lang w:val="en-US"/>
              </w:rPr>
            </w:pPr>
            <w:r w:rsidRPr="00244CB4">
              <w:rPr>
                <w:b/>
                <w:bCs/>
                <w:lang w:val="en-US"/>
              </w:rPr>
              <w:t>Output</w:t>
            </w:r>
            <w:r w:rsidR="00CB174D">
              <w:rPr>
                <w:rStyle w:val="FootnoteReference"/>
                <w:b/>
                <w:bCs/>
                <w:lang w:val="en-US"/>
              </w:rPr>
              <w:footnoteReference w:id="5"/>
            </w:r>
            <w:r w:rsidRPr="00244CB4">
              <w:rPr>
                <w:b/>
                <w:bCs/>
                <w:lang w:val="en-US"/>
              </w:rPr>
              <w:t xml:space="preserve">: </w:t>
            </w:r>
          </w:p>
          <w:p w14:paraId="12C83054" w14:textId="77777777" w:rsidR="00B80B52" w:rsidRPr="00CB174D" w:rsidRDefault="00D87656" w:rsidP="00B80B52">
            <w:pPr>
              <w:rPr>
                <w:rFonts w:cs="Arial"/>
                <w:color w:val="000000"/>
                <w:lang w:val="en-US"/>
              </w:rPr>
            </w:pPr>
            <w:r w:rsidRPr="00D87656">
              <w:rPr>
                <w:rFonts w:cs="Arial"/>
                <w:color w:val="000000"/>
                <w:lang w:val="en-US"/>
              </w:rPr>
              <w:t>Products and services delivered within the project</w:t>
            </w:r>
            <w:r w:rsidR="00192E75">
              <w:rPr>
                <w:rFonts w:cs="Arial"/>
                <w:color w:val="000000"/>
                <w:lang w:val="en-US"/>
              </w:rPr>
              <w:t>. Often reported on annually.</w:t>
            </w:r>
          </w:p>
          <w:p w14:paraId="24F2BB7E" w14:textId="77777777" w:rsidR="00B80B52" w:rsidRPr="00244CB4" w:rsidRDefault="00B80B52" w:rsidP="00B80B52">
            <w:pPr>
              <w:rPr>
                <w:b/>
                <w:bCs/>
                <w:lang w:val="en-US"/>
              </w:rPr>
            </w:pPr>
            <w:r w:rsidRPr="00244CB4">
              <w:rPr>
                <w:b/>
                <w:bCs/>
                <w:lang w:val="en-US"/>
              </w:rPr>
              <w:t>Outcome</w:t>
            </w:r>
            <w:r w:rsidR="00CB174D">
              <w:rPr>
                <w:rStyle w:val="FootnoteReference"/>
                <w:b/>
                <w:bCs/>
                <w:lang w:val="en-US"/>
              </w:rPr>
              <w:footnoteReference w:id="6"/>
            </w:r>
            <w:r w:rsidRPr="00244CB4">
              <w:rPr>
                <w:b/>
                <w:bCs/>
                <w:lang w:val="en-US"/>
              </w:rPr>
              <w:t xml:space="preserve">: </w:t>
            </w:r>
          </w:p>
          <w:p w14:paraId="0F0F945D" w14:textId="77777777" w:rsidR="00D87656" w:rsidRPr="00D87656" w:rsidRDefault="00D87656" w:rsidP="00D87656">
            <w:pPr>
              <w:rPr>
                <w:rFonts w:cs="Arial"/>
                <w:color w:val="000000"/>
                <w:lang w:val="en-US"/>
              </w:rPr>
            </w:pPr>
            <w:r w:rsidRPr="00D87656">
              <w:rPr>
                <w:rFonts w:cs="Arial"/>
                <w:color w:val="000000"/>
                <w:lang w:val="en-US"/>
              </w:rPr>
              <w:t>The effects on the target group, i.e. the positive situation/change realised for the target group</w:t>
            </w:r>
            <w:r w:rsidR="00CB174D">
              <w:rPr>
                <w:rFonts w:cs="Arial"/>
                <w:color w:val="000000"/>
                <w:lang w:val="en-US"/>
              </w:rPr>
              <w:t>.</w:t>
            </w:r>
            <w:r w:rsidRPr="00D87656">
              <w:rPr>
                <w:rFonts w:cs="Arial"/>
                <w:color w:val="000000"/>
                <w:lang w:val="en-US"/>
              </w:rPr>
              <w:t xml:space="preserve"> </w:t>
            </w:r>
            <w:r w:rsidR="00192E75">
              <w:rPr>
                <w:rFonts w:cs="Arial"/>
                <w:color w:val="000000"/>
                <w:lang w:val="en-US"/>
              </w:rPr>
              <w:t>Often reported upon only at baseline and endline of project/programme.</w:t>
            </w:r>
          </w:p>
          <w:p w14:paraId="63BB611D" w14:textId="77777777" w:rsidR="00B80B52" w:rsidRPr="00DA40BB" w:rsidRDefault="00B80B52" w:rsidP="00B80B52">
            <w:pPr>
              <w:rPr>
                <w:rFonts w:cstheme="minorHAnsi"/>
                <w:lang w:val="en-US"/>
              </w:rPr>
            </w:pPr>
          </w:p>
          <w:p w14:paraId="2689919E" w14:textId="77777777" w:rsidR="00B80B52" w:rsidRPr="00DA40BB" w:rsidRDefault="00B80B52" w:rsidP="00B80B52">
            <w:pPr>
              <w:rPr>
                <w:rFonts w:cstheme="minorHAnsi"/>
                <w:b/>
                <w:bCs/>
                <w:lang w:val="en-US"/>
              </w:rPr>
            </w:pPr>
            <w:r w:rsidRPr="00DA40BB">
              <w:rPr>
                <w:rFonts w:cstheme="minorHAnsi"/>
                <w:b/>
                <w:bCs/>
                <w:lang w:val="en-US"/>
              </w:rPr>
              <w:t>Long-term development:</w:t>
            </w:r>
          </w:p>
          <w:p w14:paraId="06A42C73" w14:textId="77777777" w:rsidR="00B80B52" w:rsidRPr="00DA40BB" w:rsidRDefault="00B80B52" w:rsidP="00B80B52">
            <w:pPr>
              <w:rPr>
                <w:rFonts w:cstheme="minorHAnsi"/>
                <w:lang w:val="en-US"/>
              </w:rPr>
            </w:pPr>
            <w:r w:rsidRPr="00DA40BB">
              <w:rPr>
                <w:rFonts w:cstheme="minorHAnsi"/>
                <w:lang w:val="en-US"/>
              </w:rPr>
              <w:t xml:space="preserve">Agreements </w:t>
            </w:r>
            <w:r w:rsidR="0080742F" w:rsidRPr="00DA40BB">
              <w:rPr>
                <w:rFonts w:cstheme="minorHAnsi"/>
                <w:lang w:val="en-US"/>
              </w:rPr>
              <w:t xml:space="preserve">that are 24 months or longer. </w:t>
            </w:r>
          </w:p>
          <w:p w14:paraId="6349E748" w14:textId="77777777" w:rsidR="00B80B52" w:rsidRPr="00DA40BB" w:rsidRDefault="00B80B52" w:rsidP="00B80B52">
            <w:pPr>
              <w:rPr>
                <w:rFonts w:cstheme="minorHAnsi"/>
                <w:b/>
                <w:bCs/>
                <w:lang w:val="en-US"/>
              </w:rPr>
            </w:pPr>
            <w:r w:rsidRPr="00DA40BB">
              <w:rPr>
                <w:rFonts w:cstheme="minorHAnsi"/>
                <w:b/>
                <w:bCs/>
                <w:lang w:val="en-US"/>
              </w:rPr>
              <w:t>Emergencies:</w:t>
            </w:r>
          </w:p>
          <w:p w14:paraId="253A9524" w14:textId="77777777" w:rsidR="00B80B52" w:rsidRPr="00DA40BB" w:rsidRDefault="0080742F" w:rsidP="00B80B52">
            <w:pPr>
              <w:rPr>
                <w:rFonts w:cstheme="minorHAnsi"/>
                <w:lang w:val="en-US"/>
              </w:rPr>
            </w:pPr>
            <w:r w:rsidRPr="00DA40BB">
              <w:rPr>
                <w:rFonts w:cstheme="minorHAnsi"/>
                <w:lang w:val="en-US"/>
              </w:rPr>
              <w:t xml:space="preserve">Agreements that are shorter than 24 months. </w:t>
            </w:r>
          </w:p>
          <w:p w14:paraId="537853B4" w14:textId="77777777" w:rsidR="00244CB4" w:rsidRPr="00244CB4" w:rsidRDefault="00244CB4" w:rsidP="00B80B52">
            <w:pPr>
              <w:rPr>
                <w:rFonts w:ascii="Verdana" w:hAnsi="Verdana"/>
                <w:sz w:val="18"/>
                <w:lang w:val="en-US"/>
              </w:rPr>
            </w:pPr>
          </w:p>
        </w:tc>
      </w:tr>
      <w:tr w:rsidR="00E47D8F" w:rsidRPr="00D33387" w14:paraId="7B90A223" w14:textId="77777777" w:rsidTr="00E47D8F">
        <w:tc>
          <w:tcPr>
            <w:tcW w:w="15304" w:type="dxa"/>
            <w:shd w:val="clear" w:color="auto" w:fill="BF8F00" w:themeFill="accent4" w:themeFillShade="BF"/>
          </w:tcPr>
          <w:p w14:paraId="2EA7EF35" w14:textId="77777777" w:rsidR="00E47D8F" w:rsidRPr="00E47D8F" w:rsidRDefault="00E47D8F" w:rsidP="004A5F62">
            <w:pPr>
              <w:jc w:val="center"/>
              <w:rPr>
                <w:b/>
                <w:bCs/>
                <w:sz w:val="28"/>
                <w:szCs w:val="28"/>
                <w:lang w:val="en-US"/>
              </w:rPr>
            </w:pPr>
            <w:r w:rsidRPr="00E47D8F">
              <w:rPr>
                <w:b/>
                <w:bCs/>
                <w:sz w:val="28"/>
                <w:szCs w:val="28"/>
                <w:lang w:val="en-US"/>
              </w:rPr>
              <w:t xml:space="preserve">CORE INDICATORS: </w:t>
            </w:r>
          </w:p>
        </w:tc>
      </w:tr>
      <w:tr w:rsidR="004A5F62" w:rsidRPr="00D33387" w14:paraId="5B63FD18" w14:textId="77777777" w:rsidTr="00E47D8F">
        <w:tc>
          <w:tcPr>
            <w:tcW w:w="15304" w:type="dxa"/>
            <w:shd w:val="clear" w:color="auto" w:fill="BF8F00" w:themeFill="accent4" w:themeFillShade="BF"/>
          </w:tcPr>
          <w:p w14:paraId="76A90967" w14:textId="77777777" w:rsidR="004A5F62" w:rsidRPr="00E210F0" w:rsidRDefault="004A5F62" w:rsidP="004A5F62">
            <w:pPr>
              <w:jc w:val="center"/>
              <w:rPr>
                <w:b/>
                <w:bCs/>
                <w:lang w:val="en-US"/>
              </w:rPr>
            </w:pPr>
            <w:r w:rsidRPr="00E210F0">
              <w:rPr>
                <w:b/>
                <w:bCs/>
                <w:lang w:val="en-US"/>
              </w:rPr>
              <w:t>Core Indicator 1:</w:t>
            </w:r>
          </w:p>
          <w:p w14:paraId="4DDABBD0" w14:textId="77777777" w:rsidR="004A5F62" w:rsidRPr="004A5F62" w:rsidRDefault="004A5F62" w:rsidP="00E210F0">
            <w:pPr>
              <w:jc w:val="center"/>
              <w:rPr>
                <w:b/>
                <w:bCs/>
                <w:lang w:val="en-US"/>
              </w:rPr>
            </w:pPr>
            <w:r w:rsidRPr="00E210F0">
              <w:rPr>
                <w:b/>
                <w:bCs/>
                <w:lang w:val="en-US"/>
              </w:rPr>
              <w:t># of students</w:t>
            </w:r>
            <w:r w:rsidR="00E210F0" w:rsidRPr="00E210F0">
              <w:rPr>
                <w:b/>
                <w:bCs/>
                <w:lang w:val="en-US"/>
              </w:rPr>
              <w:t xml:space="preserve"> (F/M)</w:t>
            </w:r>
            <w:r w:rsidRPr="00E210F0">
              <w:rPr>
                <w:b/>
                <w:bCs/>
                <w:lang w:val="en-US"/>
              </w:rPr>
              <w:t xml:space="preserve"> enroll</w:t>
            </w:r>
            <w:r w:rsidR="009820E3" w:rsidRPr="00E210F0">
              <w:rPr>
                <w:b/>
                <w:bCs/>
                <w:lang w:val="en-US"/>
              </w:rPr>
              <w:t xml:space="preserve">ed in </w:t>
            </w:r>
            <w:r w:rsidR="00F83888" w:rsidRPr="00E210F0">
              <w:rPr>
                <w:b/>
                <w:bCs/>
                <w:lang w:val="en-US"/>
              </w:rPr>
              <w:t>target</w:t>
            </w:r>
            <w:r w:rsidR="009820E3" w:rsidRPr="00E210F0">
              <w:rPr>
                <w:b/>
                <w:bCs/>
                <w:lang w:val="en-US"/>
              </w:rPr>
              <w:t xml:space="preserve"> educational institutions</w:t>
            </w:r>
            <w:r w:rsidR="00192E75">
              <w:rPr>
                <w:b/>
                <w:bCs/>
                <w:lang w:val="en-US"/>
              </w:rPr>
              <w:t xml:space="preserve"> (</w:t>
            </w:r>
            <w:r w:rsidR="00E210F0">
              <w:rPr>
                <w:b/>
                <w:bCs/>
                <w:lang w:val="en-US"/>
              </w:rPr>
              <w:t>level of education and marginalised groups)</w:t>
            </w:r>
          </w:p>
        </w:tc>
      </w:tr>
      <w:tr w:rsidR="004A5F62" w:rsidRPr="00D33387" w14:paraId="7724A2EE" w14:textId="77777777" w:rsidTr="00E47D8F">
        <w:tc>
          <w:tcPr>
            <w:tcW w:w="15304" w:type="dxa"/>
          </w:tcPr>
          <w:p w14:paraId="25F15617" w14:textId="77777777" w:rsidR="0080742F" w:rsidRDefault="0080742F" w:rsidP="004A5F62">
            <w:pPr>
              <w:pStyle w:val="Default"/>
              <w:rPr>
                <w:bCs/>
                <w:sz w:val="22"/>
                <w:szCs w:val="22"/>
                <w:lang w:val="en-US"/>
              </w:rPr>
            </w:pPr>
          </w:p>
          <w:p w14:paraId="36807810" w14:textId="77777777" w:rsidR="0080742F" w:rsidRPr="0080742F" w:rsidRDefault="0080742F" w:rsidP="004A5F62">
            <w:pPr>
              <w:pStyle w:val="Default"/>
              <w:rPr>
                <w:bCs/>
                <w:sz w:val="22"/>
                <w:szCs w:val="22"/>
                <w:lang w:val="en-US"/>
              </w:rPr>
            </w:pPr>
            <w:r w:rsidRPr="0080742F">
              <w:rPr>
                <w:bCs/>
                <w:sz w:val="22"/>
                <w:szCs w:val="22"/>
                <w:lang w:val="en-US"/>
              </w:rPr>
              <w:t xml:space="preserve">Number of male and female students that enroll in educational institutions directly supported by the programme/project. </w:t>
            </w:r>
          </w:p>
          <w:p w14:paraId="798AD121" w14:textId="77777777" w:rsidR="0080742F" w:rsidRDefault="0080742F" w:rsidP="004A5F62">
            <w:pPr>
              <w:pStyle w:val="Default"/>
              <w:rPr>
                <w:b/>
                <w:bCs/>
                <w:sz w:val="22"/>
                <w:szCs w:val="22"/>
                <w:lang w:val="en-US"/>
              </w:rPr>
            </w:pPr>
          </w:p>
          <w:p w14:paraId="5D85DE97" w14:textId="77777777" w:rsidR="009820E3" w:rsidRPr="007A10E6" w:rsidRDefault="009820E3" w:rsidP="004A5F62">
            <w:pPr>
              <w:pStyle w:val="Default"/>
              <w:rPr>
                <w:b/>
                <w:bCs/>
                <w:sz w:val="22"/>
                <w:szCs w:val="22"/>
                <w:lang w:val="en-US"/>
              </w:rPr>
            </w:pPr>
            <w:r w:rsidRPr="007A10E6">
              <w:rPr>
                <w:b/>
                <w:bCs/>
                <w:sz w:val="22"/>
                <w:szCs w:val="22"/>
                <w:lang w:val="en-US"/>
              </w:rPr>
              <w:t>Definition</w:t>
            </w:r>
            <w:r w:rsidR="0080742F">
              <w:rPr>
                <w:b/>
                <w:bCs/>
                <w:sz w:val="22"/>
                <w:szCs w:val="22"/>
                <w:lang w:val="en-US"/>
              </w:rPr>
              <w:t xml:space="preserve"> of enrolment</w:t>
            </w:r>
            <w:r w:rsidRPr="007A10E6">
              <w:rPr>
                <w:b/>
                <w:bCs/>
                <w:sz w:val="22"/>
                <w:szCs w:val="22"/>
                <w:lang w:val="en-US"/>
              </w:rPr>
              <w:t>:</w:t>
            </w:r>
          </w:p>
          <w:p w14:paraId="73B92D94" w14:textId="77777777" w:rsidR="008F1D07" w:rsidRDefault="0080742F" w:rsidP="00D62EB7">
            <w:pPr>
              <w:rPr>
                <w:lang w:val="en-US"/>
              </w:rPr>
            </w:pPr>
            <w:r>
              <w:rPr>
                <w:lang w:val="en-US"/>
              </w:rPr>
              <w:t>The official registration of individuals in a given formal or non-formal educational ins</w:t>
            </w:r>
            <w:r w:rsidR="004A5FF6">
              <w:rPr>
                <w:lang w:val="en-US"/>
              </w:rPr>
              <w:t xml:space="preserve">titution regardless of age. </w:t>
            </w:r>
          </w:p>
          <w:p w14:paraId="22168818" w14:textId="77777777" w:rsidR="004A5FF6" w:rsidRDefault="004A5FF6" w:rsidP="00D62EB7">
            <w:pPr>
              <w:rPr>
                <w:lang w:val="en-US"/>
              </w:rPr>
            </w:pPr>
          </w:p>
          <w:p w14:paraId="556FC7F9" w14:textId="77777777" w:rsidR="004A5FF6" w:rsidRDefault="008B507B" w:rsidP="00D62EB7">
            <w:pPr>
              <w:rPr>
                <w:lang w:val="en-US"/>
              </w:rPr>
            </w:pPr>
            <w:r>
              <w:rPr>
                <w:lang w:val="en-US"/>
              </w:rPr>
              <w:t xml:space="preserve">An institution </w:t>
            </w:r>
            <w:r w:rsidR="00F64701">
              <w:rPr>
                <w:lang w:val="en-US"/>
              </w:rPr>
              <w:t>can be counted as ‘supported’</w:t>
            </w:r>
            <w:r w:rsidR="00133A9F">
              <w:rPr>
                <w:lang w:val="en-US"/>
              </w:rPr>
              <w:t xml:space="preserve"> when</w:t>
            </w:r>
            <w:r>
              <w:rPr>
                <w:lang w:val="en-US"/>
              </w:rPr>
              <w:t xml:space="preserve"> goods</w:t>
            </w:r>
            <w:r w:rsidR="00244CB4">
              <w:rPr>
                <w:lang w:val="en-US"/>
              </w:rPr>
              <w:t xml:space="preserve"> (books, </w:t>
            </w:r>
            <w:r w:rsidR="00133A9F">
              <w:rPr>
                <w:lang w:val="en-US"/>
              </w:rPr>
              <w:t xml:space="preserve">learning materials, </w:t>
            </w:r>
            <w:r w:rsidR="00244CB4">
              <w:rPr>
                <w:lang w:val="en-US"/>
              </w:rPr>
              <w:t>infrastructure)</w:t>
            </w:r>
            <w:r>
              <w:rPr>
                <w:lang w:val="en-US"/>
              </w:rPr>
              <w:t xml:space="preserve"> and services</w:t>
            </w:r>
            <w:r w:rsidR="00244CB4">
              <w:rPr>
                <w:lang w:val="en-US"/>
              </w:rPr>
              <w:t xml:space="preserve"> (e.g. training, inspectors/supervisor visits, training of SMC/PTA members)</w:t>
            </w:r>
            <w:r>
              <w:rPr>
                <w:lang w:val="en-US"/>
              </w:rPr>
              <w:t xml:space="preserve"> have been provided </w:t>
            </w:r>
            <w:r w:rsidRPr="00133A9F">
              <w:rPr>
                <w:b/>
                <w:bCs/>
                <w:lang w:val="en-US"/>
              </w:rPr>
              <w:t>directly</w:t>
            </w:r>
            <w:r>
              <w:rPr>
                <w:lang w:val="en-US"/>
              </w:rPr>
              <w:t xml:space="preserve"> to that institution.</w:t>
            </w:r>
            <w:r w:rsidR="00133A9F">
              <w:rPr>
                <w:lang w:val="en-US"/>
              </w:rPr>
              <w:t xml:space="preserve"> </w:t>
            </w:r>
            <w:r w:rsidR="00E035F7">
              <w:rPr>
                <w:lang w:val="en-US"/>
              </w:rPr>
              <w:t>P</w:t>
            </w:r>
            <w:r w:rsidR="00133A9F">
              <w:rPr>
                <w:lang w:val="en-US"/>
              </w:rPr>
              <w:t xml:space="preserve">artners </w:t>
            </w:r>
            <w:r w:rsidR="00E035F7">
              <w:rPr>
                <w:lang w:val="en-US"/>
              </w:rPr>
              <w:t xml:space="preserve">are encouraged to use their own </w:t>
            </w:r>
            <w:r w:rsidR="00133A9F">
              <w:rPr>
                <w:lang w:val="en-US"/>
              </w:rPr>
              <w:t xml:space="preserve">definition to distinguish between </w:t>
            </w:r>
            <w:r w:rsidR="00E035F7">
              <w:rPr>
                <w:lang w:val="en-US"/>
              </w:rPr>
              <w:t xml:space="preserve">direct and indirect support. </w:t>
            </w:r>
            <w:r w:rsidR="005C4273">
              <w:rPr>
                <w:lang w:val="en-US"/>
              </w:rPr>
              <w:t xml:space="preserve">In general, direct support to institutions are activities/interventions where the educational institution has been directly targeted. </w:t>
            </w:r>
          </w:p>
          <w:p w14:paraId="3C5791B2" w14:textId="77777777" w:rsidR="004A5FF6" w:rsidRDefault="004A5FF6" w:rsidP="00D62EB7">
            <w:pPr>
              <w:rPr>
                <w:lang w:val="en-US"/>
              </w:rPr>
            </w:pPr>
          </w:p>
          <w:p w14:paraId="067D2545" w14:textId="77777777" w:rsidR="008B507B" w:rsidRPr="00D62EB7" w:rsidRDefault="00133A9F" w:rsidP="00D62EB7">
            <w:pPr>
              <w:rPr>
                <w:lang w:val="en-US"/>
              </w:rPr>
            </w:pPr>
            <w:r>
              <w:rPr>
                <w:lang w:val="en-US"/>
              </w:rPr>
              <w:t xml:space="preserve">For example: A training that generally strengthens the knowledge of inspectors/supervisors in a district alone would not qualify for including all students in that given district as supported. However, if the inspectors are also provided with funds and transport to inspect particularly marginalized schools students in these specific schools can be included as ‘supported’. </w:t>
            </w:r>
            <w:r w:rsidR="005C4273">
              <w:rPr>
                <w:lang w:val="en-US"/>
              </w:rPr>
              <w:t>Similarly if teachers or PTA/SMC members from a school has been supported with transport, food or accommodation to attend a training the school can be included as ‘supported</w:t>
            </w:r>
            <w:r w:rsidR="004A5FF6">
              <w:rPr>
                <w:lang w:val="en-US"/>
              </w:rPr>
              <w:t>’</w:t>
            </w:r>
            <w:r w:rsidR="005C4273">
              <w:rPr>
                <w:lang w:val="en-US"/>
              </w:rPr>
              <w:t xml:space="preserve">.  </w:t>
            </w:r>
          </w:p>
          <w:p w14:paraId="0A0B861C" w14:textId="77777777" w:rsidR="004A5F62" w:rsidRDefault="004A5F62" w:rsidP="007A10E6">
            <w:pPr>
              <w:rPr>
                <w:b/>
                <w:bCs/>
                <w:highlight w:val="lightGray"/>
                <w:lang w:val="en-US"/>
              </w:rPr>
            </w:pPr>
          </w:p>
        </w:tc>
      </w:tr>
      <w:tr w:rsidR="00817F63" w:rsidRPr="00D33387" w14:paraId="19111648" w14:textId="77777777" w:rsidTr="00E47D8F">
        <w:tc>
          <w:tcPr>
            <w:tcW w:w="15304" w:type="dxa"/>
          </w:tcPr>
          <w:p w14:paraId="538B7E98" w14:textId="77777777" w:rsidR="00817F63" w:rsidRDefault="00817F63" w:rsidP="004A5F62">
            <w:pPr>
              <w:pStyle w:val="Default"/>
              <w:rPr>
                <w:b/>
                <w:bCs/>
                <w:sz w:val="22"/>
                <w:szCs w:val="22"/>
                <w:lang w:val="en-US"/>
              </w:rPr>
            </w:pPr>
            <w:r>
              <w:rPr>
                <w:b/>
                <w:bCs/>
                <w:sz w:val="22"/>
                <w:szCs w:val="22"/>
                <w:lang w:val="en-US"/>
              </w:rPr>
              <w:t xml:space="preserve">Methodology: </w:t>
            </w:r>
          </w:p>
          <w:p w14:paraId="29846A0E" w14:textId="77777777" w:rsidR="00817F63" w:rsidRDefault="004A5FF6" w:rsidP="004A5FF6">
            <w:pPr>
              <w:pStyle w:val="Default"/>
              <w:rPr>
                <w:sz w:val="22"/>
                <w:szCs w:val="22"/>
                <w:lang w:val="en-US"/>
              </w:rPr>
            </w:pPr>
            <w:r>
              <w:rPr>
                <w:sz w:val="22"/>
                <w:szCs w:val="22"/>
                <w:lang w:val="en-US"/>
              </w:rPr>
              <w:t xml:space="preserve">This is a ‘stock’ indicator. All students in target educational institutions are counted every school year. This means that students will be counted several times if programme is spanning across several school years. Results under this indicator should therefore not be cumulated. </w:t>
            </w:r>
          </w:p>
          <w:p w14:paraId="57E576F2" w14:textId="77777777" w:rsidR="004A5FF6" w:rsidRPr="00817F63" w:rsidRDefault="004A5FF6" w:rsidP="004A5FF6">
            <w:pPr>
              <w:pStyle w:val="Default"/>
              <w:rPr>
                <w:sz w:val="22"/>
                <w:szCs w:val="22"/>
                <w:lang w:val="en-US"/>
              </w:rPr>
            </w:pPr>
          </w:p>
        </w:tc>
      </w:tr>
      <w:tr w:rsidR="004A5F62" w:rsidRPr="00D33387" w14:paraId="33CAD626" w14:textId="77777777" w:rsidTr="00975BE1">
        <w:tc>
          <w:tcPr>
            <w:tcW w:w="15304" w:type="dxa"/>
            <w:shd w:val="clear" w:color="auto" w:fill="FFFFFF" w:themeFill="background1"/>
          </w:tcPr>
          <w:p w14:paraId="3F907F01" w14:textId="77777777" w:rsidR="00817F63" w:rsidRDefault="004A5FF6" w:rsidP="00975BE1">
            <w:pPr>
              <w:rPr>
                <w:lang w:val="en-US"/>
              </w:rPr>
            </w:pPr>
            <w:r w:rsidRPr="004A5FF6">
              <w:rPr>
                <w:b/>
                <w:lang w:val="en-US"/>
              </w:rPr>
              <w:t>Type of indicator</w:t>
            </w:r>
            <w:r>
              <w:rPr>
                <w:lang w:val="en-US"/>
              </w:rPr>
              <w:t xml:space="preserve">: Output, not cumulative. </w:t>
            </w:r>
            <w:r w:rsidR="00975BE1" w:rsidRPr="00D62EB7">
              <w:rPr>
                <w:lang w:val="en-US"/>
              </w:rPr>
              <w:t xml:space="preserve"> </w:t>
            </w:r>
          </w:p>
          <w:p w14:paraId="256521B5" w14:textId="77777777" w:rsidR="004A5FF6" w:rsidRPr="00393E46" w:rsidRDefault="004A5FF6" w:rsidP="00975BE1">
            <w:pPr>
              <w:rPr>
                <w:lang w:val="en-US"/>
              </w:rPr>
            </w:pPr>
          </w:p>
        </w:tc>
      </w:tr>
      <w:tr w:rsidR="00817F63" w:rsidRPr="00D33387" w14:paraId="34FF24C6" w14:textId="77777777" w:rsidTr="00E47D8F">
        <w:tc>
          <w:tcPr>
            <w:tcW w:w="15304" w:type="dxa"/>
            <w:shd w:val="clear" w:color="auto" w:fill="BF8F00" w:themeFill="accent4" w:themeFillShade="BF"/>
          </w:tcPr>
          <w:p w14:paraId="07864EE4" w14:textId="77777777" w:rsidR="00817F63" w:rsidRDefault="00817F63" w:rsidP="00817F63">
            <w:pPr>
              <w:jc w:val="center"/>
              <w:rPr>
                <w:b/>
                <w:bCs/>
                <w:lang w:val="en-US"/>
              </w:rPr>
            </w:pPr>
            <w:r w:rsidRPr="00817F63">
              <w:rPr>
                <w:b/>
                <w:bCs/>
                <w:lang w:val="en-US"/>
              </w:rPr>
              <w:t>C</w:t>
            </w:r>
            <w:r>
              <w:rPr>
                <w:b/>
                <w:bCs/>
                <w:lang w:val="en-US"/>
              </w:rPr>
              <w:t xml:space="preserve">ore indicator </w:t>
            </w:r>
            <w:r w:rsidRPr="00817F63">
              <w:rPr>
                <w:b/>
                <w:bCs/>
                <w:lang w:val="en-US"/>
              </w:rPr>
              <w:t xml:space="preserve">2: </w:t>
            </w:r>
          </w:p>
          <w:p w14:paraId="468D478F" w14:textId="77777777" w:rsidR="00817F63" w:rsidRDefault="00E210F0" w:rsidP="00192E75">
            <w:pPr>
              <w:jc w:val="center"/>
              <w:rPr>
                <w:b/>
                <w:bCs/>
                <w:highlight w:val="lightGray"/>
                <w:lang w:val="en-US"/>
              </w:rPr>
            </w:pPr>
            <w:r>
              <w:rPr>
                <w:b/>
                <w:bCs/>
                <w:lang w:val="en-US"/>
              </w:rPr>
              <w:t># of classrooms constructed</w:t>
            </w:r>
            <w:r w:rsidR="00817F63" w:rsidRPr="00817F63">
              <w:rPr>
                <w:b/>
                <w:bCs/>
                <w:lang w:val="en-US"/>
              </w:rPr>
              <w:t xml:space="preserve"> or rehabilitated</w:t>
            </w:r>
            <w:r w:rsidR="00192E75">
              <w:rPr>
                <w:b/>
                <w:bCs/>
                <w:lang w:val="en-US"/>
              </w:rPr>
              <w:t xml:space="preserve"> (</w:t>
            </w:r>
            <w:r>
              <w:rPr>
                <w:b/>
                <w:bCs/>
                <w:lang w:val="en-US"/>
              </w:rPr>
              <w:t>level of education, type of learning space</w:t>
            </w:r>
            <w:r w:rsidR="004A5FF6">
              <w:rPr>
                <w:b/>
                <w:bCs/>
                <w:lang w:val="en-US"/>
              </w:rPr>
              <w:t>, constructed/rehabilitated</w:t>
            </w:r>
            <w:r>
              <w:rPr>
                <w:b/>
                <w:bCs/>
                <w:lang w:val="en-US"/>
              </w:rPr>
              <w:t>)</w:t>
            </w:r>
          </w:p>
        </w:tc>
      </w:tr>
      <w:tr w:rsidR="008F1D07" w:rsidRPr="00D33387" w14:paraId="00102369" w14:textId="77777777" w:rsidTr="00E47D8F">
        <w:tc>
          <w:tcPr>
            <w:tcW w:w="15304" w:type="dxa"/>
          </w:tcPr>
          <w:p w14:paraId="3B328204" w14:textId="77777777" w:rsidR="0028246F" w:rsidRPr="0028246F" w:rsidRDefault="0028246F" w:rsidP="0028246F">
            <w:pPr>
              <w:rPr>
                <w:bCs/>
                <w:lang w:val="en-US"/>
              </w:rPr>
            </w:pPr>
            <w:r w:rsidRPr="0028246F">
              <w:rPr>
                <w:bCs/>
                <w:lang w:val="en-US"/>
              </w:rPr>
              <w:t xml:space="preserve">Number of completed classroom constructions or rehabilitations of permanent, temporary and/or tent structures supported by programme/project. </w:t>
            </w:r>
          </w:p>
          <w:p w14:paraId="1BB2B53D" w14:textId="77777777" w:rsidR="0028246F" w:rsidRDefault="0028246F" w:rsidP="0028246F">
            <w:pPr>
              <w:rPr>
                <w:b/>
                <w:bCs/>
                <w:lang w:val="en-US"/>
              </w:rPr>
            </w:pPr>
          </w:p>
          <w:p w14:paraId="31DF9A36" w14:textId="77777777" w:rsidR="0028246F" w:rsidRDefault="008F1D07" w:rsidP="0028246F">
            <w:pPr>
              <w:rPr>
                <w:b/>
                <w:bCs/>
                <w:lang w:val="en-US"/>
              </w:rPr>
            </w:pPr>
            <w:r w:rsidRPr="00E210F0">
              <w:rPr>
                <w:b/>
                <w:bCs/>
                <w:lang w:val="en-US"/>
              </w:rPr>
              <w:t>Definition</w:t>
            </w:r>
            <w:r w:rsidR="0028246F">
              <w:rPr>
                <w:b/>
                <w:bCs/>
                <w:lang w:val="en-US"/>
              </w:rPr>
              <w:t>s</w:t>
            </w:r>
            <w:r w:rsidRPr="00E210F0">
              <w:rPr>
                <w:b/>
                <w:bCs/>
                <w:lang w:val="en-US"/>
              </w:rPr>
              <w:t xml:space="preserve">: </w:t>
            </w:r>
          </w:p>
          <w:p w14:paraId="6A2BD42B" w14:textId="77777777" w:rsidR="00114BE7" w:rsidRPr="0028246F" w:rsidRDefault="0028246F" w:rsidP="0028246F">
            <w:pPr>
              <w:rPr>
                <w:b/>
                <w:bCs/>
                <w:lang w:val="en-US"/>
              </w:rPr>
            </w:pPr>
            <w:r>
              <w:rPr>
                <w:b/>
                <w:bCs/>
                <w:lang w:val="en-US"/>
              </w:rPr>
              <w:t>Classroom:</w:t>
            </w:r>
            <w:r w:rsidR="00114BE7" w:rsidRPr="0028246F">
              <w:rPr>
                <w:b/>
                <w:bCs/>
                <w:lang w:val="en-US"/>
              </w:rPr>
              <w:t xml:space="preserve"> </w:t>
            </w:r>
            <w:r>
              <w:rPr>
                <w:bCs/>
                <w:lang w:val="en-US"/>
              </w:rPr>
              <w:t>s</w:t>
            </w:r>
            <w:r w:rsidR="00114BE7" w:rsidRPr="0028246F">
              <w:rPr>
                <w:bCs/>
                <w:lang w:val="en-US"/>
              </w:rPr>
              <w:t>pace in an educational institution where students</w:t>
            </w:r>
            <w:r>
              <w:rPr>
                <w:bCs/>
                <w:lang w:val="en-US"/>
              </w:rPr>
              <w:t xml:space="preserve"> are provided with educational instruction.</w:t>
            </w:r>
            <w:r w:rsidR="00114BE7" w:rsidRPr="0028246F">
              <w:rPr>
                <w:bCs/>
                <w:lang w:val="en-US"/>
              </w:rPr>
              <w:t xml:space="preserve"> </w:t>
            </w:r>
          </w:p>
          <w:p w14:paraId="2E776B8F" w14:textId="77777777" w:rsidR="008F1D07" w:rsidRPr="0028246F" w:rsidRDefault="0028246F" w:rsidP="0028246F">
            <w:pPr>
              <w:rPr>
                <w:lang w:val="en-US"/>
              </w:rPr>
            </w:pPr>
            <w:r w:rsidRPr="0028246F">
              <w:rPr>
                <w:b/>
                <w:lang w:val="en-US"/>
              </w:rPr>
              <w:t>Constructed</w:t>
            </w:r>
            <w:r>
              <w:rPr>
                <w:lang w:val="en-US"/>
              </w:rPr>
              <w:t>:</w:t>
            </w:r>
            <w:r w:rsidR="008F1D07" w:rsidRPr="0028246F">
              <w:rPr>
                <w:lang w:val="en-US"/>
              </w:rPr>
              <w:t xml:space="preserve"> </w:t>
            </w:r>
            <w:r>
              <w:rPr>
                <w:lang w:val="en-US"/>
              </w:rPr>
              <w:t>1</w:t>
            </w:r>
            <w:r w:rsidR="00114BE7" w:rsidRPr="0028246F">
              <w:rPr>
                <w:lang w:val="en-US"/>
              </w:rPr>
              <w:t>) building additional classrooms</w:t>
            </w:r>
            <w:r w:rsidR="008F1D07" w:rsidRPr="0028246F">
              <w:rPr>
                <w:lang w:val="en-US"/>
              </w:rPr>
              <w:t xml:space="preserve"> to an existing school or 2) building </w:t>
            </w:r>
            <w:r>
              <w:rPr>
                <w:lang w:val="en-US"/>
              </w:rPr>
              <w:t>a new school (n</w:t>
            </w:r>
            <w:r w:rsidR="008F1D07" w:rsidRPr="0028246F">
              <w:rPr>
                <w:lang w:val="en-US"/>
              </w:rPr>
              <w:t xml:space="preserve">umber of classrooms </w:t>
            </w:r>
            <w:r w:rsidR="00B96C2B" w:rsidRPr="0028246F">
              <w:rPr>
                <w:lang w:val="en-US"/>
              </w:rPr>
              <w:t xml:space="preserve">in the school built </w:t>
            </w:r>
            <w:r w:rsidR="008F1D07" w:rsidRPr="0028246F">
              <w:rPr>
                <w:lang w:val="en-US"/>
              </w:rPr>
              <w:t>should be included)</w:t>
            </w:r>
          </w:p>
          <w:p w14:paraId="3666230B" w14:textId="77777777" w:rsidR="0028246F" w:rsidRDefault="008F1D07" w:rsidP="0028246F">
            <w:pPr>
              <w:rPr>
                <w:lang w:val="en-US"/>
              </w:rPr>
            </w:pPr>
            <w:r w:rsidRPr="0028246F">
              <w:rPr>
                <w:b/>
                <w:lang w:val="en-US"/>
              </w:rPr>
              <w:t>Rehabilitation</w:t>
            </w:r>
            <w:r w:rsidR="00114BE7" w:rsidRPr="0028246F">
              <w:rPr>
                <w:b/>
                <w:lang w:val="en-US"/>
              </w:rPr>
              <w:t xml:space="preserve"> </w:t>
            </w:r>
            <w:r w:rsidR="00114BE7" w:rsidRPr="0028246F">
              <w:rPr>
                <w:lang w:val="en-US"/>
              </w:rPr>
              <w:t>(of existing classrooms)</w:t>
            </w:r>
            <w:r w:rsidRPr="0028246F">
              <w:rPr>
                <w:lang w:val="en-US"/>
              </w:rPr>
              <w:t xml:space="preserve">: </w:t>
            </w:r>
            <w:r w:rsidR="00114BE7" w:rsidRPr="0028246F">
              <w:rPr>
                <w:lang w:val="en-US"/>
              </w:rPr>
              <w:t>1) provision of furniture</w:t>
            </w:r>
            <w:r w:rsidR="00B96C2B" w:rsidRPr="0028246F">
              <w:rPr>
                <w:lang w:val="en-US"/>
              </w:rPr>
              <w:t xml:space="preserve">, 2) major repairs of classroom (roof, windows, floor, walls etc). </w:t>
            </w:r>
          </w:p>
          <w:p w14:paraId="075B2B86" w14:textId="77777777" w:rsidR="00BA414C" w:rsidRDefault="0028246F" w:rsidP="0028246F">
            <w:pPr>
              <w:rPr>
                <w:lang w:val="en-US"/>
              </w:rPr>
            </w:pPr>
            <w:r w:rsidRPr="0028246F">
              <w:rPr>
                <w:b/>
                <w:lang w:val="en-US"/>
              </w:rPr>
              <w:t>Type of learning space:</w:t>
            </w:r>
            <w:r>
              <w:rPr>
                <w:lang w:val="en-US"/>
              </w:rPr>
              <w:t xml:space="preserve"> Construction and rehabilitation of </w:t>
            </w:r>
            <w:r w:rsidR="00B96C2B" w:rsidRPr="0028246F">
              <w:rPr>
                <w:lang w:val="en-US"/>
              </w:rPr>
              <w:t xml:space="preserve">both </w:t>
            </w:r>
            <w:r w:rsidR="00B62DC0" w:rsidRPr="0028246F">
              <w:rPr>
                <w:lang w:val="en-US"/>
              </w:rPr>
              <w:t xml:space="preserve">permanent </w:t>
            </w:r>
            <w:r w:rsidR="00B96C2B" w:rsidRPr="0028246F">
              <w:rPr>
                <w:lang w:val="en-US"/>
              </w:rPr>
              <w:t xml:space="preserve">and temporary classroom structures as well as tents should be included. </w:t>
            </w:r>
            <w:r w:rsidR="00506046" w:rsidRPr="0028246F">
              <w:rPr>
                <w:lang w:val="en-US"/>
              </w:rPr>
              <w:t>Permanent</w:t>
            </w:r>
            <w:r>
              <w:rPr>
                <w:lang w:val="en-US"/>
              </w:rPr>
              <w:t xml:space="preserve"> (including semi-permanent)</w:t>
            </w:r>
            <w:r w:rsidR="00506046" w:rsidRPr="0028246F">
              <w:rPr>
                <w:lang w:val="en-US"/>
              </w:rPr>
              <w:t xml:space="preserve"> and temporary </w:t>
            </w:r>
            <w:r w:rsidR="00E210F0" w:rsidRPr="0028246F">
              <w:rPr>
                <w:lang w:val="en-US"/>
              </w:rPr>
              <w:t xml:space="preserve">learning spaces </w:t>
            </w:r>
            <w:r w:rsidR="00506046" w:rsidRPr="0028246F">
              <w:rPr>
                <w:lang w:val="en-US"/>
              </w:rPr>
              <w:t xml:space="preserve">should be defined as per government standards in the respective country the agreement is being implemented in. </w:t>
            </w:r>
          </w:p>
          <w:p w14:paraId="4FA174F1" w14:textId="77777777" w:rsidR="0028246F" w:rsidRPr="0028246F" w:rsidRDefault="0028246F" w:rsidP="0028246F">
            <w:pPr>
              <w:rPr>
                <w:lang w:val="en-US"/>
              </w:rPr>
            </w:pPr>
          </w:p>
        </w:tc>
      </w:tr>
      <w:tr w:rsidR="008F1D07" w:rsidRPr="00D33387" w14:paraId="103577E8" w14:textId="77777777" w:rsidTr="008F1D07">
        <w:tc>
          <w:tcPr>
            <w:tcW w:w="15304" w:type="dxa"/>
            <w:shd w:val="clear" w:color="auto" w:fill="FFFFFF" w:themeFill="background1"/>
          </w:tcPr>
          <w:p w14:paraId="062B2F2A" w14:textId="77777777" w:rsidR="0028246F" w:rsidRDefault="0028246F" w:rsidP="0028246F">
            <w:pPr>
              <w:rPr>
                <w:lang w:val="en-US"/>
              </w:rPr>
            </w:pPr>
            <w:r w:rsidRPr="004A5FF6">
              <w:rPr>
                <w:b/>
                <w:lang w:val="en-US"/>
              </w:rPr>
              <w:t>Type of indicator</w:t>
            </w:r>
            <w:r>
              <w:rPr>
                <w:lang w:val="en-US"/>
              </w:rPr>
              <w:t xml:space="preserve">: Output, cumulative. </w:t>
            </w:r>
            <w:r w:rsidRPr="00D62EB7">
              <w:rPr>
                <w:lang w:val="en-US"/>
              </w:rPr>
              <w:t xml:space="preserve"> </w:t>
            </w:r>
          </w:p>
          <w:p w14:paraId="41BD24B1" w14:textId="77777777" w:rsidR="008F1D07" w:rsidRPr="00E210F0" w:rsidRDefault="008F1D07" w:rsidP="008F1D07">
            <w:pPr>
              <w:rPr>
                <w:lang w:val="en-US"/>
              </w:rPr>
            </w:pPr>
          </w:p>
        </w:tc>
      </w:tr>
      <w:tr w:rsidR="008F1D07" w:rsidRPr="00D33387" w14:paraId="7DC9C42B" w14:textId="77777777" w:rsidTr="00E47D8F">
        <w:tc>
          <w:tcPr>
            <w:tcW w:w="15304" w:type="dxa"/>
            <w:shd w:val="clear" w:color="auto" w:fill="BF8F00" w:themeFill="accent4" w:themeFillShade="BF"/>
          </w:tcPr>
          <w:p w14:paraId="6E45CC3B" w14:textId="77777777" w:rsidR="00B62DC0" w:rsidRDefault="00B62DC0" w:rsidP="00B62DC0">
            <w:pPr>
              <w:jc w:val="center"/>
              <w:rPr>
                <w:b/>
                <w:bCs/>
                <w:lang w:val="en-US"/>
              </w:rPr>
            </w:pPr>
            <w:r w:rsidRPr="00B62DC0">
              <w:rPr>
                <w:b/>
                <w:bCs/>
                <w:lang w:val="en-US"/>
              </w:rPr>
              <w:t>C</w:t>
            </w:r>
            <w:r>
              <w:rPr>
                <w:b/>
                <w:bCs/>
                <w:lang w:val="en-US"/>
              </w:rPr>
              <w:t xml:space="preserve">ore indicator </w:t>
            </w:r>
            <w:r w:rsidRPr="00B62DC0">
              <w:rPr>
                <w:b/>
                <w:bCs/>
                <w:lang w:val="en-US"/>
              </w:rPr>
              <w:t>3:</w:t>
            </w:r>
          </w:p>
          <w:p w14:paraId="06B8E22E" w14:textId="77777777" w:rsidR="008F1D07" w:rsidRPr="008F1D07" w:rsidRDefault="00B62DC0" w:rsidP="00192E75">
            <w:pPr>
              <w:jc w:val="center"/>
              <w:rPr>
                <w:b/>
                <w:bCs/>
                <w:lang w:val="en-US"/>
              </w:rPr>
            </w:pPr>
            <w:r w:rsidRPr="00B62DC0">
              <w:rPr>
                <w:b/>
                <w:bCs/>
                <w:lang w:val="en-US"/>
              </w:rPr>
              <w:t xml:space="preserve"># of </w:t>
            </w:r>
            <w:r w:rsidR="00192E75">
              <w:rPr>
                <w:b/>
                <w:bCs/>
                <w:lang w:val="en-US"/>
              </w:rPr>
              <w:t xml:space="preserve">target students </w:t>
            </w:r>
            <w:r w:rsidR="00202B83">
              <w:rPr>
                <w:b/>
                <w:bCs/>
                <w:lang w:val="en-US"/>
              </w:rPr>
              <w:t>provided with l</w:t>
            </w:r>
            <w:r w:rsidRPr="00B62DC0">
              <w:rPr>
                <w:b/>
                <w:bCs/>
                <w:lang w:val="en-US"/>
              </w:rPr>
              <w:t>earning material</w:t>
            </w:r>
            <w:r w:rsidR="00E210F0">
              <w:rPr>
                <w:b/>
                <w:bCs/>
                <w:lang w:val="en-US"/>
              </w:rPr>
              <w:t xml:space="preserve"> (</w:t>
            </w:r>
            <w:r w:rsidR="00192E75">
              <w:rPr>
                <w:b/>
                <w:bCs/>
                <w:lang w:val="en-US"/>
              </w:rPr>
              <w:t>sex</w:t>
            </w:r>
            <w:r w:rsidR="00E210F0">
              <w:rPr>
                <w:b/>
                <w:bCs/>
                <w:lang w:val="en-US"/>
              </w:rPr>
              <w:t xml:space="preserve">, level of education, </w:t>
            </w:r>
            <w:r w:rsidR="00E210F0" w:rsidRPr="00E210F0">
              <w:rPr>
                <w:b/>
                <w:bCs/>
                <w:lang w:val="en-US"/>
              </w:rPr>
              <w:t>Mother tongue/Non-mother tongue</w:t>
            </w:r>
            <w:r w:rsidR="00E210F0">
              <w:rPr>
                <w:b/>
                <w:bCs/>
                <w:lang w:val="en-US"/>
              </w:rPr>
              <w:t>)</w:t>
            </w:r>
          </w:p>
        </w:tc>
      </w:tr>
      <w:tr w:rsidR="00B62DC0" w:rsidRPr="00D33387" w14:paraId="18F242BE" w14:textId="77777777" w:rsidTr="00E47D8F">
        <w:tc>
          <w:tcPr>
            <w:tcW w:w="15304" w:type="dxa"/>
          </w:tcPr>
          <w:p w14:paraId="40778E12" w14:textId="77777777" w:rsidR="00192E75" w:rsidRDefault="00192E75" w:rsidP="00A77E49">
            <w:pPr>
              <w:rPr>
                <w:b/>
                <w:bCs/>
                <w:lang w:val="en-US"/>
              </w:rPr>
            </w:pPr>
          </w:p>
          <w:p w14:paraId="45922A78" w14:textId="77777777" w:rsidR="00192E75" w:rsidRPr="00192E75" w:rsidRDefault="00192E75" w:rsidP="00A77E49">
            <w:pPr>
              <w:rPr>
                <w:bCs/>
                <w:lang w:val="en-US"/>
              </w:rPr>
            </w:pPr>
            <w:r w:rsidRPr="00192E75">
              <w:rPr>
                <w:bCs/>
                <w:lang w:val="en-US"/>
              </w:rPr>
              <w:t xml:space="preserve">Number of male and female provided with materials that support their learning and/or school attendance. </w:t>
            </w:r>
          </w:p>
          <w:p w14:paraId="137426F2" w14:textId="77777777" w:rsidR="00192E75" w:rsidRDefault="00192E75" w:rsidP="00A77E49">
            <w:pPr>
              <w:rPr>
                <w:b/>
                <w:bCs/>
                <w:lang w:val="en-US"/>
              </w:rPr>
            </w:pPr>
          </w:p>
          <w:p w14:paraId="6A06D439" w14:textId="77777777" w:rsidR="00A77E49" w:rsidRDefault="00202B83" w:rsidP="007F5CFF">
            <w:pPr>
              <w:rPr>
                <w:lang w:val="en-US"/>
              </w:rPr>
            </w:pPr>
            <w:r w:rsidRPr="00A77E49">
              <w:rPr>
                <w:b/>
                <w:bCs/>
                <w:lang w:val="en-US"/>
              </w:rPr>
              <w:t xml:space="preserve">Definition: </w:t>
            </w:r>
            <w:r w:rsidR="00192E75">
              <w:rPr>
                <w:b/>
                <w:bCs/>
                <w:lang w:val="en-US"/>
              </w:rPr>
              <w:t>L</w:t>
            </w:r>
            <w:r w:rsidRPr="00192E75">
              <w:rPr>
                <w:lang w:val="en-US"/>
              </w:rPr>
              <w:t xml:space="preserve">earning materials can relate to books, </w:t>
            </w:r>
            <w:r w:rsidR="00A77E49" w:rsidRPr="00192E75">
              <w:rPr>
                <w:lang w:val="en-US"/>
              </w:rPr>
              <w:t>notebooks, schoolbags</w:t>
            </w:r>
            <w:r w:rsidR="00192E75">
              <w:rPr>
                <w:lang w:val="en-US"/>
              </w:rPr>
              <w:t xml:space="preserve"> and other educational materials that have been provided directly to students. </w:t>
            </w:r>
          </w:p>
          <w:p w14:paraId="23088565" w14:textId="77777777" w:rsidR="00192E75" w:rsidRPr="00192E75" w:rsidRDefault="00192E75" w:rsidP="007F5CFF">
            <w:pPr>
              <w:rPr>
                <w:lang w:val="en-US"/>
              </w:rPr>
            </w:pPr>
          </w:p>
        </w:tc>
      </w:tr>
      <w:tr w:rsidR="00A77E49" w:rsidRPr="00D33387" w14:paraId="75DE2D97" w14:textId="77777777" w:rsidTr="00E47D8F">
        <w:tc>
          <w:tcPr>
            <w:tcW w:w="15304" w:type="dxa"/>
          </w:tcPr>
          <w:p w14:paraId="20F73EB4" w14:textId="77777777" w:rsidR="00192E75" w:rsidRDefault="007F5CFF" w:rsidP="00192E75">
            <w:pPr>
              <w:pStyle w:val="Default"/>
              <w:rPr>
                <w:b/>
                <w:bCs/>
                <w:sz w:val="22"/>
                <w:szCs w:val="22"/>
                <w:lang w:val="en-US"/>
              </w:rPr>
            </w:pPr>
            <w:r>
              <w:rPr>
                <w:b/>
                <w:bCs/>
                <w:sz w:val="22"/>
                <w:szCs w:val="22"/>
                <w:lang w:val="en-US"/>
              </w:rPr>
              <w:t xml:space="preserve">Methodology: </w:t>
            </w:r>
          </w:p>
          <w:p w14:paraId="482D4466" w14:textId="77777777" w:rsidR="00A77E49" w:rsidRDefault="00192E75" w:rsidP="00192E75">
            <w:pPr>
              <w:pStyle w:val="Default"/>
              <w:rPr>
                <w:sz w:val="22"/>
                <w:szCs w:val="22"/>
                <w:lang w:val="en-US"/>
              </w:rPr>
            </w:pPr>
            <w:r>
              <w:rPr>
                <w:sz w:val="22"/>
                <w:szCs w:val="22"/>
                <w:lang w:val="en-US"/>
              </w:rPr>
              <w:t>This is a ‘stock’ indicator. All students in target educational institutions are counted every school year. This means that students will be counted several times if programme is spanning across several school years. Results under this indicator should therefore not be cumulated.</w:t>
            </w:r>
          </w:p>
          <w:p w14:paraId="0BA5E210" w14:textId="77777777" w:rsidR="00192E75" w:rsidRPr="00A77E49" w:rsidRDefault="00192E75" w:rsidP="00192E75">
            <w:pPr>
              <w:pStyle w:val="Default"/>
              <w:rPr>
                <w:b/>
                <w:bCs/>
                <w:lang w:val="en-US"/>
              </w:rPr>
            </w:pPr>
          </w:p>
        </w:tc>
      </w:tr>
      <w:tr w:rsidR="007F5CFF" w:rsidRPr="00D33387" w14:paraId="7EF1FC5F" w14:textId="77777777" w:rsidTr="00E47D8F">
        <w:tc>
          <w:tcPr>
            <w:tcW w:w="15304" w:type="dxa"/>
          </w:tcPr>
          <w:p w14:paraId="6787F962" w14:textId="77777777" w:rsidR="00192E75" w:rsidRDefault="00192E75" w:rsidP="00192E75">
            <w:pPr>
              <w:rPr>
                <w:lang w:val="en-US"/>
              </w:rPr>
            </w:pPr>
            <w:r w:rsidRPr="004A5FF6">
              <w:rPr>
                <w:b/>
                <w:lang w:val="en-US"/>
              </w:rPr>
              <w:t>Type of indicator</w:t>
            </w:r>
            <w:r>
              <w:rPr>
                <w:lang w:val="en-US"/>
              </w:rPr>
              <w:t xml:space="preserve">: Output, not cumulative. </w:t>
            </w:r>
            <w:r w:rsidRPr="00D62EB7">
              <w:rPr>
                <w:lang w:val="en-US"/>
              </w:rPr>
              <w:t xml:space="preserve"> </w:t>
            </w:r>
          </w:p>
          <w:p w14:paraId="6677046F" w14:textId="77777777" w:rsidR="007F5CFF" w:rsidRPr="008931D6" w:rsidRDefault="007F5CFF" w:rsidP="007F5CFF">
            <w:pPr>
              <w:pStyle w:val="Default"/>
              <w:rPr>
                <w:b/>
                <w:bCs/>
                <w:sz w:val="22"/>
                <w:szCs w:val="22"/>
                <w:lang w:val="en-US"/>
              </w:rPr>
            </w:pPr>
          </w:p>
        </w:tc>
      </w:tr>
      <w:tr w:rsidR="00A77E49" w:rsidRPr="00D33387" w14:paraId="58BFAD57" w14:textId="77777777" w:rsidTr="00E47D8F">
        <w:tc>
          <w:tcPr>
            <w:tcW w:w="15304" w:type="dxa"/>
            <w:shd w:val="clear" w:color="auto" w:fill="BF8F00" w:themeFill="accent4" w:themeFillShade="BF"/>
          </w:tcPr>
          <w:p w14:paraId="246BD7DA" w14:textId="77777777" w:rsidR="00A77E49" w:rsidRDefault="00A77E49" w:rsidP="00A77E49">
            <w:pPr>
              <w:jc w:val="center"/>
              <w:rPr>
                <w:b/>
                <w:bCs/>
                <w:lang w:val="en-US"/>
              </w:rPr>
            </w:pPr>
            <w:r w:rsidRPr="00A77E49">
              <w:rPr>
                <w:b/>
                <w:bCs/>
                <w:lang w:val="en-US"/>
              </w:rPr>
              <w:t>C</w:t>
            </w:r>
            <w:r>
              <w:rPr>
                <w:b/>
                <w:bCs/>
                <w:lang w:val="en-US"/>
              </w:rPr>
              <w:t xml:space="preserve">ore indicator </w:t>
            </w:r>
            <w:r w:rsidRPr="00A77E49">
              <w:rPr>
                <w:b/>
                <w:bCs/>
                <w:lang w:val="en-US"/>
              </w:rPr>
              <w:t xml:space="preserve">4: </w:t>
            </w:r>
          </w:p>
          <w:p w14:paraId="58448C1A" w14:textId="77777777" w:rsidR="00A77E49" w:rsidRDefault="00A77E49" w:rsidP="00555F4E">
            <w:pPr>
              <w:jc w:val="center"/>
              <w:rPr>
                <w:b/>
                <w:bCs/>
                <w:highlight w:val="lightGray"/>
                <w:lang w:val="en-US"/>
              </w:rPr>
            </w:pPr>
            <w:r w:rsidRPr="00A77E49">
              <w:rPr>
                <w:b/>
                <w:bCs/>
                <w:lang w:val="en-US"/>
              </w:rPr>
              <w:t xml:space="preserve"># of </w:t>
            </w:r>
            <w:r w:rsidR="00F83888">
              <w:rPr>
                <w:b/>
                <w:bCs/>
                <w:lang w:val="en-US"/>
              </w:rPr>
              <w:t xml:space="preserve">target </w:t>
            </w:r>
            <w:r w:rsidRPr="00A77E49">
              <w:rPr>
                <w:b/>
                <w:bCs/>
                <w:lang w:val="en-US"/>
              </w:rPr>
              <w:t xml:space="preserve">parent teachers associations </w:t>
            </w:r>
            <w:r w:rsidR="00192E75">
              <w:rPr>
                <w:b/>
                <w:bCs/>
                <w:lang w:val="en-US"/>
              </w:rPr>
              <w:t>and/</w:t>
            </w:r>
            <w:r w:rsidRPr="00A77E49">
              <w:rPr>
                <w:b/>
                <w:bCs/>
                <w:lang w:val="en-US"/>
              </w:rPr>
              <w:t xml:space="preserve">or school management committees </w:t>
            </w:r>
            <w:r w:rsidR="00192E75">
              <w:rPr>
                <w:b/>
                <w:bCs/>
                <w:lang w:val="en-US"/>
              </w:rPr>
              <w:t xml:space="preserve">members trained </w:t>
            </w:r>
            <w:r w:rsidR="009B7B5C">
              <w:rPr>
                <w:b/>
                <w:bCs/>
                <w:lang w:val="en-US"/>
              </w:rPr>
              <w:t>(</w:t>
            </w:r>
            <w:r w:rsidR="00555F4E">
              <w:rPr>
                <w:b/>
                <w:bCs/>
                <w:lang w:val="en-US"/>
              </w:rPr>
              <w:t xml:space="preserve">sex, </w:t>
            </w:r>
            <w:r w:rsidR="009B7B5C">
              <w:rPr>
                <w:b/>
                <w:bCs/>
                <w:lang w:val="en-US"/>
              </w:rPr>
              <w:t>level of education)</w:t>
            </w:r>
          </w:p>
        </w:tc>
      </w:tr>
      <w:tr w:rsidR="00A77E49" w:rsidRPr="00D33387" w14:paraId="73E7B1A9" w14:textId="77777777" w:rsidTr="00E47D8F">
        <w:tc>
          <w:tcPr>
            <w:tcW w:w="15304" w:type="dxa"/>
          </w:tcPr>
          <w:p w14:paraId="4C69D206" w14:textId="77777777" w:rsidR="00555F4E" w:rsidRDefault="00555F4E" w:rsidP="00A77E49">
            <w:pPr>
              <w:rPr>
                <w:b/>
                <w:bCs/>
                <w:lang w:val="en-US"/>
              </w:rPr>
            </w:pPr>
            <w:r>
              <w:rPr>
                <w:b/>
                <w:bCs/>
                <w:lang w:val="en-US"/>
              </w:rPr>
              <w:t>Number of P</w:t>
            </w:r>
            <w:r w:rsidR="003453F3">
              <w:rPr>
                <w:b/>
                <w:bCs/>
                <w:lang w:val="en-US"/>
              </w:rPr>
              <w:t>arent Teacher Association (P</w:t>
            </w:r>
            <w:r>
              <w:rPr>
                <w:b/>
                <w:bCs/>
                <w:lang w:val="en-US"/>
              </w:rPr>
              <w:t>TA</w:t>
            </w:r>
            <w:r w:rsidR="003453F3">
              <w:rPr>
                <w:b/>
                <w:bCs/>
                <w:lang w:val="en-US"/>
              </w:rPr>
              <w:t>)</w:t>
            </w:r>
            <w:r>
              <w:rPr>
                <w:b/>
                <w:bCs/>
                <w:lang w:val="en-US"/>
              </w:rPr>
              <w:t xml:space="preserve"> and</w:t>
            </w:r>
            <w:r w:rsidR="003453F3">
              <w:rPr>
                <w:b/>
                <w:bCs/>
                <w:lang w:val="en-US"/>
              </w:rPr>
              <w:t>/</w:t>
            </w:r>
            <w:r>
              <w:rPr>
                <w:b/>
                <w:bCs/>
                <w:lang w:val="en-US"/>
              </w:rPr>
              <w:t>or S</w:t>
            </w:r>
            <w:r w:rsidR="003453F3">
              <w:rPr>
                <w:b/>
                <w:bCs/>
                <w:lang w:val="en-US"/>
              </w:rPr>
              <w:t>chool Management Committee (S</w:t>
            </w:r>
            <w:r>
              <w:rPr>
                <w:b/>
                <w:bCs/>
                <w:lang w:val="en-US"/>
              </w:rPr>
              <w:t>MC</w:t>
            </w:r>
            <w:r w:rsidR="003453F3">
              <w:rPr>
                <w:b/>
                <w:bCs/>
                <w:lang w:val="en-US"/>
              </w:rPr>
              <w:t>)</w:t>
            </w:r>
            <w:r>
              <w:rPr>
                <w:b/>
                <w:bCs/>
                <w:lang w:val="en-US"/>
              </w:rPr>
              <w:t xml:space="preserve"> members that have attended all required day(s) of a training supported by the programme/project. </w:t>
            </w:r>
          </w:p>
          <w:p w14:paraId="12AB0DD8" w14:textId="77777777" w:rsidR="00555F4E" w:rsidRDefault="00555F4E" w:rsidP="00A77E49">
            <w:pPr>
              <w:rPr>
                <w:b/>
                <w:bCs/>
                <w:lang w:val="en-US"/>
              </w:rPr>
            </w:pPr>
          </w:p>
          <w:p w14:paraId="473ECCE4" w14:textId="77777777" w:rsidR="00A77E49" w:rsidRDefault="00A77E49" w:rsidP="00A77E49">
            <w:pPr>
              <w:rPr>
                <w:b/>
                <w:bCs/>
                <w:lang w:val="en-US"/>
              </w:rPr>
            </w:pPr>
            <w:r>
              <w:rPr>
                <w:b/>
                <w:bCs/>
                <w:lang w:val="en-US"/>
              </w:rPr>
              <w:t>Definition</w:t>
            </w:r>
            <w:r w:rsidR="00A375AA">
              <w:rPr>
                <w:b/>
                <w:bCs/>
                <w:lang w:val="en-US"/>
              </w:rPr>
              <w:t xml:space="preserve">: </w:t>
            </w:r>
          </w:p>
          <w:p w14:paraId="4F473439" w14:textId="77777777" w:rsidR="003453F3" w:rsidRDefault="00555F4E" w:rsidP="003453F3">
            <w:pPr>
              <w:rPr>
                <w:lang w:val="en-US"/>
              </w:rPr>
            </w:pPr>
            <w:r w:rsidRPr="003453F3">
              <w:rPr>
                <w:lang w:val="en-US"/>
              </w:rPr>
              <w:t xml:space="preserve">Training: All support and capacity building of PTA and/or SMC’s that </w:t>
            </w:r>
            <w:r w:rsidR="003453F3" w:rsidRPr="003453F3">
              <w:rPr>
                <w:lang w:val="en-US"/>
              </w:rPr>
              <w:t xml:space="preserve">contributes towards </w:t>
            </w:r>
            <w:r w:rsidRPr="003453F3">
              <w:rPr>
                <w:lang w:val="en-US"/>
              </w:rPr>
              <w:t>them better fulfill</w:t>
            </w:r>
            <w:r w:rsidR="003453F3" w:rsidRPr="003453F3">
              <w:rPr>
                <w:lang w:val="en-US"/>
              </w:rPr>
              <w:t>ing</w:t>
            </w:r>
            <w:r w:rsidRPr="003453F3">
              <w:rPr>
                <w:lang w:val="en-US"/>
              </w:rPr>
              <w:t xml:space="preserve"> their mandates in supporting the effectiveness and functionality of the educational institution.</w:t>
            </w:r>
            <w:r w:rsidR="007148A5" w:rsidRPr="003453F3">
              <w:rPr>
                <w:lang w:val="en-US"/>
              </w:rPr>
              <w:t xml:space="preserve"> </w:t>
            </w:r>
          </w:p>
          <w:p w14:paraId="79AB5009" w14:textId="77777777" w:rsidR="003453F3" w:rsidRDefault="003453F3" w:rsidP="003453F3">
            <w:pPr>
              <w:rPr>
                <w:lang w:val="en-US"/>
              </w:rPr>
            </w:pPr>
          </w:p>
          <w:p w14:paraId="3C2A6799" w14:textId="77777777" w:rsidR="003453F3" w:rsidRPr="003453F3" w:rsidRDefault="003453F3" w:rsidP="003453F3">
            <w:pPr>
              <w:rPr>
                <w:lang w:val="en-US"/>
              </w:rPr>
            </w:pPr>
            <w:r w:rsidRPr="003453F3">
              <w:rPr>
                <w:lang w:val="en-US"/>
              </w:rPr>
              <w:t xml:space="preserve">The name of the PTA and SMC might vary from context to context and from educational institution to educational institution. However, to be counted under the respective group they should fulfill the following characteristics: </w:t>
            </w:r>
          </w:p>
          <w:p w14:paraId="41D53C03" w14:textId="77777777" w:rsidR="003453F3" w:rsidRPr="003453F3" w:rsidRDefault="003453F3" w:rsidP="003453F3">
            <w:pPr>
              <w:rPr>
                <w:lang w:val="en-US"/>
              </w:rPr>
            </w:pPr>
            <w:r w:rsidRPr="003453F3">
              <w:rPr>
                <w:lang w:val="en-US"/>
              </w:rPr>
              <w:t>A) PTA: A</w:t>
            </w:r>
            <w:r w:rsidRPr="003453F3">
              <w:rPr>
                <w:lang w:val="en"/>
              </w:rPr>
              <w:t xml:space="preserve"> formal organization composed of parents, teachers and staff that is intended to facilitate parental participation in a school.</w:t>
            </w:r>
          </w:p>
          <w:p w14:paraId="2C6C1A5B" w14:textId="77777777" w:rsidR="00A375AA" w:rsidRDefault="003453F3" w:rsidP="003453F3">
            <w:pPr>
              <w:rPr>
                <w:lang w:val="en-US"/>
              </w:rPr>
            </w:pPr>
            <w:r>
              <w:rPr>
                <w:lang w:val="en-US"/>
              </w:rPr>
              <w:t xml:space="preserve">B) SMC: Provide </w:t>
            </w:r>
            <w:r w:rsidRPr="00DC5003">
              <w:rPr>
                <w:lang w:val="en-US"/>
              </w:rPr>
              <w:t>strategic guidance for the School and to effectively oversee and review the School’s management including the school development plan.</w:t>
            </w:r>
          </w:p>
          <w:p w14:paraId="4A3BD1AD" w14:textId="77777777" w:rsidR="003453F3" w:rsidRPr="003453F3" w:rsidRDefault="003453F3" w:rsidP="003453F3">
            <w:pPr>
              <w:rPr>
                <w:lang w:val="en-US"/>
              </w:rPr>
            </w:pPr>
          </w:p>
        </w:tc>
      </w:tr>
      <w:tr w:rsidR="00A77E49" w:rsidRPr="00D33387" w14:paraId="03198451" w14:textId="77777777" w:rsidTr="00E47D8F">
        <w:tc>
          <w:tcPr>
            <w:tcW w:w="15304" w:type="dxa"/>
          </w:tcPr>
          <w:p w14:paraId="1A979C1B" w14:textId="77777777" w:rsidR="00A77E49" w:rsidRPr="00FE5276" w:rsidRDefault="00A77E49" w:rsidP="00A77E49">
            <w:pPr>
              <w:rPr>
                <w:b/>
                <w:bCs/>
                <w:lang w:val="en-US"/>
              </w:rPr>
            </w:pPr>
            <w:r w:rsidRPr="00FE5276">
              <w:rPr>
                <w:b/>
                <w:bCs/>
                <w:lang w:val="en-US"/>
              </w:rPr>
              <w:t xml:space="preserve">Methodology: </w:t>
            </w:r>
          </w:p>
          <w:p w14:paraId="454C6717" w14:textId="77777777" w:rsidR="003453F3" w:rsidRDefault="003453F3" w:rsidP="003453F3">
            <w:pPr>
              <w:rPr>
                <w:lang w:val="en-US"/>
              </w:rPr>
            </w:pPr>
            <w:r w:rsidRPr="003453F3">
              <w:rPr>
                <w:lang w:val="en-US"/>
              </w:rPr>
              <w:t xml:space="preserve">Members receiving training can only be counted once. If one members attends several trainings in the intervention period do not count the member twice. </w:t>
            </w:r>
          </w:p>
          <w:p w14:paraId="1F1BA870" w14:textId="77777777" w:rsidR="00D67CC6" w:rsidRPr="003453F3" w:rsidRDefault="00D67CC6" w:rsidP="003453F3">
            <w:pPr>
              <w:rPr>
                <w:lang w:val="en-US"/>
              </w:rPr>
            </w:pPr>
            <w:r w:rsidRPr="003453F3">
              <w:rPr>
                <w:lang w:val="en-US"/>
              </w:rPr>
              <w:t xml:space="preserve"> </w:t>
            </w:r>
          </w:p>
        </w:tc>
      </w:tr>
      <w:tr w:rsidR="00A77E49" w:rsidRPr="00D33387" w14:paraId="422457D2" w14:textId="77777777" w:rsidTr="00E47D8F">
        <w:tc>
          <w:tcPr>
            <w:tcW w:w="15304" w:type="dxa"/>
          </w:tcPr>
          <w:p w14:paraId="04F5D0AD" w14:textId="77777777" w:rsidR="003453F3" w:rsidRDefault="003453F3" w:rsidP="003453F3">
            <w:pPr>
              <w:rPr>
                <w:lang w:val="en-US"/>
              </w:rPr>
            </w:pPr>
            <w:r w:rsidRPr="004A5FF6">
              <w:rPr>
                <w:b/>
                <w:lang w:val="en-US"/>
              </w:rPr>
              <w:t>Type of indicator</w:t>
            </w:r>
            <w:r>
              <w:rPr>
                <w:lang w:val="en-US"/>
              </w:rPr>
              <w:t xml:space="preserve">: Output, cumulative. </w:t>
            </w:r>
            <w:r w:rsidRPr="00D62EB7">
              <w:rPr>
                <w:lang w:val="en-US"/>
              </w:rPr>
              <w:t xml:space="preserve"> </w:t>
            </w:r>
          </w:p>
          <w:p w14:paraId="655327A2" w14:textId="77777777" w:rsidR="00FE5276" w:rsidRPr="00393E46" w:rsidRDefault="00FE5276" w:rsidP="00FE5276">
            <w:pPr>
              <w:rPr>
                <w:lang w:val="en-US"/>
              </w:rPr>
            </w:pPr>
          </w:p>
        </w:tc>
      </w:tr>
      <w:tr w:rsidR="00A77E49" w:rsidRPr="00D33387" w14:paraId="476ECD2C" w14:textId="77777777" w:rsidTr="00E47D8F">
        <w:tc>
          <w:tcPr>
            <w:tcW w:w="15304" w:type="dxa"/>
            <w:shd w:val="clear" w:color="auto" w:fill="BF8F00" w:themeFill="accent4" w:themeFillShade="BF"/>
          </w:tcPr>
          <w:p w14:paraId="0749E604" w14:textId="77777777" w:rsidR="007F5CFF" w:rsidRDefault="007F5CFF" w:rsidP="007F5CFF">
            <w:pPr>
              <w:jc w:val="center"/>
              <w:rPr>
                <w:b/>
                <w:bCs/>
                <w:lang w:val="en-US"/>
              </w:rPr>
            </w:pPr>
            <w:r w:rsidRPr="007F5CFF">
              <w:rPr>
                <w:b/>
                <w:bCs/>
                <w:lang w:val="en-US"/>
              </w:rPr>
              <w:t>C</w:t>
            </w:r>
            <w:r>
              <w:rPr>
                <w:b/>
                <w:bCs/>
                <w:lang w:val="en-US"/>
              </w:rPr>
              <w:t>ore indicator 5:</w:t>
            </w:r>
          </w:p>
          <w:p w14:paraId="3909C8F2" w14:textId="77777777" w:rsidR="00A77E49" w:rsidRPr="00A77E49" w:rsidRDefault="003453F3" w:rsidP="003453F3">
            <w:pPr>
              <w:jc w:val="center"/>
              <w:rPr>
                <w:b/>
                <w:bCs/>
                <w:lang w:val="en-US"/>
              </w:rPr>
            </w:pPr>
            <w:r>
              <w:rPr>
                <w:b/>
                <w:bCs/>
                <w:lang w:val="en-US"/>
              </w:rPr>
              <w:t># of educational personnel trained</w:t>
            </w:r>
            <w:r w:rsidR="00074C04">
              <w:rPr>
                <w:b/>
                <w:bCs/>
                <w:lang w:val="en-US"/>
              </w:rPr>
              <w:t xml:space="preserve"> (sex</w:t>
            </w:r>
            <w:r w:rsidR="009B7B5C">
              <w:rPr>
                <w:b/>
                <w:bCs/>
                <w:lang w:val="en-US"/>
              </w:rPr>
              <w:t>, level of education</w:t>
            </w:r>
            <w:r w:rsidR="00074C04">
              <w:rPr>
                <w:b/>
                <w:bCs/>
                <w:lang w:val="en-US"/>
              </w:rPr>
              <w:t>, type of education personnel</w:t>
            </w:r>
            <w:r w:rsidR="009B7B5C">
              <w:rPr>
                <w:b/>
                <w:bCs/>
                <w:lang w:val="en-US"/>
              </w:rPr>
              <w:t>)</w:t>
            </w:r>
          </w:p>
        </w:tc>
      </w:tr>
      <w:tr w:rsidR="00A77E49" w:rsidRPr="00D33387" w14:paraId="67D4F5A3" w14:textId="77777777" w:rsidTr="00E47D8F">
        <w:tc>
          <w:tcPr>
            <w:tcW w:w="15304" w:type="dxa"/>
          </w:tcPr>
          <w:p w14:paraId="00C1E1FC" w14:textId="77777777" w:rsidR="00074C04" w:rsidRDefault="00074C04" w:rsidP="00A77E49">
            <w:pPr>
              <w:rPr>
                <w:b/>
                <w:bCs/>
                <w:lang w:val="en-US"/>
              </w:rPr>
            </w:pPr>
            <w:r>
              <w:rPr>
                <w:b/>
                <w:bCs/>
                <w:lang w:val="en-US"/>
              </w:rPr>
              <w:t>Number of teachers, headmasters, inspectors, school supervisors etc. that has attended all required day(s) of a training supported by the programme/project</w:t>
            </w:r>
          </w:p>
          <w:p w14:paraId="29074196" w14:textId="77777777" w:rsidR="00074C04" w:rsidRDefault="00074C04" w:rsidP="00A77E49">
            <w:pPr>
              <w:rPr>
                <w:b/>
                <w:bCs/>
                <w:lang w:val="en-US"/>
              </w:rPr>
            </w:pPr>
          </w:p>
          <w:p w14:paraId="166BE473" w14:textId="77777777" w:rsidR="00A77E49" w:rsidRPr="004453CB" w:rsidRDefault="00FE5276" w:rsidP="00A77E49">
            <w:pPr>
              <w:rPr>
                <w:b/>
                <w:bCs/>
                <w:lang w:val="en-US"/>
              </w:rPr>
            </w:pPr>
            <w:r w:rsidRPr="004453CB">
              <w:rPr>
                <w:b/>
                <w:bCs/>
                <w:lang w:val="en-US"/>
              </w:rPr>
              <w:t>Definition</w:t>
            </w:r>
            <w:r w:rsidR="00F674EA" w:rsidRPr="004453CB">
              <w:rPr>
                <w:b/>
                <w:bCs/>
                <w:lang w:val="en-US"/>
              </w:rPr>
              <w:t xml:space="preserve">: </w:t>
            </w:r>
          </w:p>
          <w:p w14:paraId="4427BD4C" w14:textId="77777777" w:rsidR="00F674EA" w:rsidRDefault="00074C04" w:rsidP="00074C04">
            <w:pPr>
              <w:rPr>
                <w:lang w:val="en-US"/>
              </w:rPr>
            </w:pPr>
            <w:r w:rsidRPr="00074C04">
              <w:rPr>
                <w:lang w:val="en-US"/>
              </w:rPr>
              <w:t xml:space="preserve">Educational personnel: This can be any staff that is working on improving the educational system (both formal and non-formal) in a country; from community level up to national level. </w:t>
            </w:r>
            <w:r w:rsidR="00F674EA" w:rsidRPr="00074C04">
              <w:rPr>
                <w:lang w:val="en-US"/>
              </w:rPr>
              <w:t>The purpose of this indicator is to measure if educational staff in target schools have received</w:t>
            </w:r>
            <w:r w:rsidR="004453CB" w:rsidRPr="00074C04">
              <w:rPr>
                <w:lang w:val="en-US"/>
              </w:rPr>
              <w:t xml:space="preserve"> training</w:t>
            </w:r>
            <w:r w:rsidR="00F674EA" w:rsidRPr="00074C04">
              <w:rPr>
                <w:lang w:val="en-US"/>
              </w:rPr>
              <w:t xml:space="preserve">. </w:t>
            </w:r>
          </w:p>
          <w:p w14:paraId="4395E091" w14:textId="77777777" w:rsidR="00074C04" w:rsidRPr="00074C04" w:rsidRDefault="00074C04" w:rsidP="00074C04">
            <w:pPr>
              <w:rPr>
                <w:lang w:val="en-US"/>
              </w:rPr>
            </w:pPr>
          </w:p>
        </w:tc>
      </w:tr>
      <w:tr w:rsidR="007F5CFF" w:rsidRPr="00D33387" w14:paraId="26A1D539" w14:textId="77777777" w:rsidTr="00E47D8F">
        <w:tc>
          <w:tcPr>
            <w:tcW w:w="15304" w:type="dxa"/>
          </w:tcPr>
          <w:p w14:paraId="6FE05BAF" w14:textId="77777777" w:rsidR="007F5CFF" w:rsidRDefault="00FE5276" w:rsidP="00074C04">
            <w:pPr>
              <w:rPr>
                <w:lang w:val="en-US"/>
              </w:rPr>
            </w:pPr>
            <w:r>
              <w:rPr>
                <w:b/>
                <w:bCs/>
                <w:lang w:val="en-US"/>
              </w:rPr>
              <w:t>Methodology</w:t>
            </w:r>
            <w:r w:rsidR="00F674EA" w:rsidRPr="004453CB">
              <w:rPr>
                <w:lang w:val="en-US"/>
              </w:rPr>
              <w:t>:</w:t>
            </w:r>
            <w:r w:rsidR="004453CB" w:rsidRPr="004453CB">
              <w:rPr>
                <w:lang w:val="en-US"/>
              </w:rPr>
              <w:t xml:space="preserve"> </w:t>
            </w:r>
            <w:r w:rsidR="00074C04">
              <w:rPr>
                <w:lang w:val="en-US"/>
              </w:rPr>
              <w:t xml:space="preserve">A person should only be counted once although he or she has received several trainings throughout the intervention period of the programme/project. </w:t>
            </w:r>
          </w:p>
          <w:p w14:paraId="0D2A30E1" w14:textId="77777777" w:rsidR="00074C04" w:rsidRPr="00A77E49" w:rsidRDefault="00074C04" w:rsidP="00074C04">
            <w:pPr>
              <w:rPr>
                <w:b/>
                <w:bCs/>
                <w:lang w:val="en-US"/>
              </w:rPr>
            </w:pPr>
          </w:p>
        </w:tc>
      </w:tr>
      <w:tr w:rsidR="007F5CFF" w:rsidRPr="00D33387" w14:paraId="54C92ECE" w14:textId="77777777" w:rsidTr="00E47D8F">
        <w:tc>
          <w:tcPr>
            <w:tcW w:w="15304" w:type="dxa"/>
          </w:tcPr>
          <w:p w14:paraId="297DA900" w14:textId="77777777" w:rsidR="007F5CFF" w:rsidRPr="00074C04" w:rsidRDefault="00074C04" w:rsidP="00A77E49">
            <w:pPr>
              <w:rPr>
                <w:lang w:val="en-US"/>
              </w:rPr>
            </w:pPr>
            <w:r w:rsidRPr="004A5FF6">
              <w:rPr>
                <w:b/>
                <w:lang w:val="en-US"/>
              </w:rPr>
              <w:t>Type of indicator</w:t>
            </w:r>
            <w:r>
              <w:rPr>
                <w:lang w:val="en-US"/>
              </w:rPr>
              <w:t xml:space="preserve">: Output, cumulative. </w:t>
            </w:r>
            <w:r w:rsidRPr="00D62EB7">
              <w:rPr>
                <w:lang w:val="en-US"/>
              </w:rPr>
              <w:t xml:space="preserve"> </w:t>
            </w:r>
          </w:p>
        </w:tc>
      </w:tr>
      <w:tr w:rsidR="00E47D8F" w:rsidRPr="00FA56CA" w14:paraId="61C81A14" w14:textId="77777777" w:rsidTr="00E47D8F">
        <w:trPr>
          <w:trHeight w:val="552"/>
        </w:trPr>
        <w:tc>
          <w:tcPr>
            <w:tcW w:w="15304" w:type="dxa"/>
            <w:shd w:val="clear" w:color="auto" w:fill="385623" w:themeFill="accent6" w:themeFillShade="80"/>
          </w:tcPr>
          <w:p w14:paraId="45156B74" w14:textId="77777777" w:rsidR="00E47D8F" w:rsidRPr="00E47D8F" w:rsidRDefault="00E47D8F" w:rsidP="00E47D8F">
            <w:pPr>
              <w:jc w:val="center"/>
              <w:rPr>
                <w:rFonts w:eastAsia="Times New Roman" w:cs="Times New Roman"/>
                <w:b/>
                <w:bCs/>
                <w:color w:val="FFFFFF" w:themeColor="background1"/>
                <w:sz w:val="28"/>
                <w:szCs w:val="28"/>
                <w:lang w:val="en-GB" w:eastAsia="en-GB" w:bidi="ar-SA"/>
              </w:rPr>
            </w:pPr>
            <w:r w:rsidRPr="00E47D8F">
              <w:rPr>
                <w:rFonts w:eastAsia="Times New Roman" w:cs="Times New Roman"/>
                <w:b/>
                <w:bCs/>
                <w:color w:val="FFFFFF" w:themeColor="background1"/>
                <w:sz w:val="28"/>
                <w:szCs w:val="28"/>
                <w:lang w:val="en-GB" w:eastAsia="en-GB" w:bidi="ar-SA"/>
              </w:rPr>
              <w:t>Menu of Indicators</w:t>
            </w:r>
          </w:p>
        </w:tc>
      </w:tr>
      <w:tr w:rsidR="00E47D8F" w:rsidRPr="00FA56CA" w14:paraId="34D51443" w14:textId="77777777" w:rsidTr="00576D29">
        <w:trPr>
          <w:trHeight w:val="552"/>
        </w:trPr>
        <w:tc>
          <w:tcPr>
            <w:tcW w:w="15304" w:type="dxa"/>
            <w:shd w:val="clear" w:color="auto" w:fill="F4B083" w:themeFill="accent2" w:themeFillTint="99"/>
            <w:hideMark/>
          </w:tcPr>
          <w:p w14:paraId="549D6268" w14:textId="77777777" w:rsidR="00E47D8F" w:rsidRPr="00E47D8F" w:rsidRDefault="00E47D8F" w:rsidP="00E47D8F">
            <w:pPr>
              <w:rPr>
                <w:rFonts w:eastAsia="Times New Roman" w:cs="Times New Roman"/>
                <w:b/>
                <w:bCs/>
                <w:color w:val="FFFFFF" w:themeColor="background1"/>
                <w:lang w:val="en-GB" w:eastAsia="en-GB" w:bidi="ar-SA"/>
              </w:rPr>
            </w:pPr>
            <w:r w:rsidRPr="00576D29">
              <w:rPr>
                <w:rFonts w:eastAsia="Times New Roman" w:cs="Times New Roman"/>
                <w:b/>
                <w:bCs/>
                <w:lang w:val="en-GB" w:eastAsia="en-GB" w:bidi="ar-SA"/>
              </w:rPr>
              <w:t xml:space="preserve">Programme objective 1: </w:t>
            </w:r>
            <w:r w:rsidRPr="00576D29">
              <w:rPr>
                <w:rFonts w:eastAsia="Times New Roman" w:cs="Times New Roman"/>
                <w:lang w:val="en-GB" w:eastAsia="en-GB" w:bidi="ar-SA"/>
              </w:rPr>
              <w:t>All children start and complete basic education</w:t>
            </w:r>
          </w:p>
        </w:tc>
      </w:tr>
      <w:tr w:rsidR="00E47D8F" w:rsidRPr="00FA56CA" w14:paraId="0CE33A31" w14:textId="77777777" w:rsidTr="00E47D8F">
        <w:trPr>
          <w:trHeight w:val="578"/>
        </w:trPr>
        <w:tc>
          <w:tcPr>
            <w:tcW w:w="15304" w:type="dxa"/>
            <w:shd w:val="clear" w:color="auto" w:fill="A8D08D" w:themeFill="accent6" w:themeFillTint="99"/>
            <w:hideMark/>
          </w:tcPr>
          <w:p w14:paraId="6D771811" w14:textId="77777777" w:rsidR="00E47D8F" w:rsidRPr="00C44970" w:rsidRDefault="00E47D8F" w:rsidP="00752B57">
            <w:pPr>
              <w:rPr>
                <w:rFonts w:eastAsia="Times New Roman" w:cs="Times New Roman"/>
                <w:color w:val="000000"/>
                <w:lang w:val="en-GB" w:eastAsia="en-GB" w:bidi="ar-SA"/>
              </w:rPr>
            </w:pPr>
            <w:r>
              <w:rPr>
                <w:rFonts w:eastAsia="Times New Roman" w:cs="Times New Roman"/>
                <w:color w:val="000000"/>
                <w:lang w:val="en-US" w:eastAsia="en-GB" w:bidi="ar-SA"/>
              </w:rPr>
              <w:t xml:space="preserve">Indicator </w:t>
            </w:r>
            <w:r>
              <w:rPr>
                <w:rFonts w:eastAsia="Times New Roman" w:cs="Times New Roman"/>
                <w:color w:val="000000"/>
                <w:lang w:val="en-GB" w:eastAsia="en-GB" w:bidi="ar-SA"/>
              </w:rPr>
              <w:t xml:space="preserve">1.1: </w:t>
            </w:r>
            <w:r w:rsidRPr="00C44970">
              <w:rPr>
                <w:rFonts w:eastAsia="Times New Roman" w:cs="Times New Roman"/>
                <w:color w:val="000000"/>
                <w:lang w:val="en-GB" w:eastAsia="en-GB" w:bidi="ar-SA"/>
              </w:rPr>
              <w:t xml:space="preserve">% </w:t>
            </w:r>
            <w:r>
              <w:rPr>
                <w:rFonts w:eastAsia="Times New Roman" w:cs="Times New Roman"/>
                <w:color w:val="000000"/>
                <w:lang w:val="en-GB" w:eastAsia="en-GB" w:bidi="ar-SA"/>
              </w:rPr>
              <w:t xml:space="preserve">and # </w:t>
            </w:r>
            <w:r w:rsidRPr="00C44970">
              <w:rPr>
                <w:rFonts w:eastAsia="Times New Roman" w:cs="Times New Roman"/>
                <w:color w:val="000000"/>
                <w:lang w:val="en-GB" w:eastAsia="en-GB" w:bidi="ar-SA"/>
              </w:rPr>
              <w:t>of students in supported educational institutions who complete primary/lower secondary</w:t>
            </w:r>
            <w:r w:rsidR="00752B57">
              <w:rPr>
                <w:rFonts w:eastAsia="Times New Roman" w:cs="Times New Roman"/>
                <w:color w:val="000000"/>
                <w:lang w:val="en-GB" w:eastAsia="en-GB" w:bidi="ar-SA"/>
              </w:rPr>
              <w:t xml:space="preserve"> (</w:t>
            </w:r>
            <w:r w:rsidR="00752B57" w:rsidRPr="00752B57">
              <w:rPr>
                <w:rFonts w:eastAsia="Times New Roman" w:cs="Times New Roman"/>
                <w:color w:val="000000"/>
                <w:lang w:val="en-GB" w:eastAsia="en-GB" w:bidi="ar-SA"/>
              </w:rPr>
              <w:t>Sex</w:t>
            </w:r>
            <w:r w:rsidR="00752B57">
              <w:rPr>
                <w:rFonts w:eastAsia="Times New Roman" w:cs="Times New Roman"/>
                <w:color w:val="000000"/>
                <w:lang w:val="en-GB" w:eastAsia="en-GB" w:bidi="ar-SA"/>
              </w:rPr>
              <w:t>, type of marginalisation (if available)</w:t>
            </w:r>
          </w:p>
        </w:tc>
      </w:tr>
      <w:tr w:rsidR="00E47D8F" w:rsidRPr="00FA56CA" w14:paraId="4733952E" w14:textId="77777777" w:rsidTr="00E47D8F">
        <w:tc>
          <w:tcPr>
            <w:tcW w:w="15304" w:type="dxa"/>
          </w:tcPr>
          <w:p w14:paraId="043C2094" w14:textId="77777777" w:rsidR="00E47D8F" w:rsidRDefault="00E47D8F" w:rsidP="00E47D8F">
            <w:pPr>
              <w:pStyle w:val="Default"/>
              <w:rPr>
                <w:rFonts w:asciiTheme="minorHAnsi" w:hAnsiTheme="minorHAnsi"/>
                <w:b/>
                <w:sz w:val="22"/>
                <w:szCs w:val="22"/>
                <w:lang w:val="en-US"/>
              </w:rPr>
            </w:pPr>
            <w:r>
              <w:rPr>
                <w:rFonts w:asciiTheme="minorHAnsi" w:hAnsiTheme="minorHAnsi"/>
                <w:b/>
                <w:sz w:val="22"/>
                <w:szCs w:val="22"/>
                <w:lang w:val="en-US"/>
              </w:rPr>
              <w:t xml:space="preserve">The proportion </w:t>
            </w:r>
            <w:r w:rsidR="00C44947">
              <w:rPr>
                <w:rFonts w:asciiTheme="minorHAnsi" w:hAnsiTheme="minorHAnsi"/>
                <w:b/>
                <w:sz w:val="22"/>
                <w:szCs w:val="22"/>
                <w:lang w:val="en-US"/>
              </w:rPr>
              <w:t xml:space="preserve">and number </w:t>
            </w:r>
            <w:r>
              <w:rPr>
                <w:rFonts w:asciiTheme="minorHAnsi" w:hAnsiTheme="minorHAnsi"/>
                <w:b/>
                <w:sz w:val="22"/>
                <w:szCs w:val="22"/>
                <w:lang w:val="en-US"/>
              </w:rPr>
              <w:t xml:space="preserve">of students enrolled in the final year of primary or secondary that are eligible for </w:t>
            </w:r>
            <w:r w:rsidR="00A170BA">
              <w:rPr>
                <w:rFonts w:asciiTheme="minorHAnsi" w:hAnsiTheme="minorHAnsi"/>
                <w:b/>
                <w:sz w:val="22"/>
                <w:szCs w:val="22"/>
                <w:lang w:val="en-US"/>
              </w:rPr>
              <w:t xml:space="preserve">continue their education in the grade/level above. </w:t>
            </w:r>
          </w:p>
          <w:p w14:paraId="11BA78C7" w14:textId="77777777" w:rsidR="00A170BA" w:rsidRDefault="00A170BA" w:rsidP="00E47D8F">
            <w:pPr>
              <w:pStyle w:val="Default"/>
              <w:rPr>
                <w:rFonts w:asciiTheme="minorHAnsi" w:hAnsiTheme="minorHAnsi"/>
                <w:b/>
                <w:sz w:val="22"/>
                <w:szCs w:val="22"/>
                <w:lang w:val="en-US"/>
              </w:rPr>
            </w:pPr>
          </w:p>
          <w:p w14:paraId="39B827CF" w14:textId="77777777" w:rsidR="00E47D8F" w:rsidRPr="00C44970" w:rsidRDefault="00E47D8F" w:rsidP="00E47D8F">
            <w:pPr>
              <w:pStyle w:val="Default"/>
              <w:rPr>
                <w:rFonts w:asciiTheme="minorHAnsi" w:hAnsiTheme="minorHAnsi"/>
                <w:b/>
                <w:sz w:val="22"/>
                <w:szCs w:val="22"/>
                <w:lang w:val="en-US"/>
              </w:rPr>
            </w:pPr>
            <w:r w:rsidRPr="00C44970">
              <w:rPr>
                <w:rFonts w:asciiTheme="minorHAnsi" w:hAnsiTheme="minorHAnsi"/>
                <w:b/>
                <w:sz w:val="22"/>
                <w:szCs w:val="22"/>
                <w:lang w:val="en-US"/>
              </w:rPr>
              <w:t xml:space="preserve">Definition: </w:t>
            </w:r>
          </w:p>
          <w:p w14:paraId="68DC0EE8" w14:textId="77777777" w:rsidR="00E47D8F" w:rsidRDefault="00A170BA" w:rsidP="00E47D8F">
            <w:pPr>
              <w:rPr>
                <w:rFonts w:cs="Calibri"/>
                <w:color w:val="000000"/>
                <w:lang w:val="en-US"/>
              </w:rPr>
            </w:pPr>
            <w:r>
              <w:rPr>
                <w:rFonts w:cs="Calibri"/>
                <w:color w:val="000000"/>
                <w:lang w:val="en-US"/>
              </w:rPr>
              <w:t xml:space="preserve">Eligible: Requirements for completing may vary from country to country. Please use Ministry of Education set standards to determine if a student has completed the given level or not. </w:t>
            </w:r>
          </w:p>
          <w:p w14:paraId="5D34CAE6" w14:textId="77777777" w:rsidR="00752B57" w:rsidRDefault="00752B57" w:rsidP="00E47D8F">
            <w:pPr>
              <w:rPr>
                <w:rFonts w:cs="Calibri"/>
                <w:color w:val="000000"/>
                <w:lang w:val="en-US"/>
              </w:rPr>
            </w:pPr>
            <w:r>
              <w:rPr>
                <w:rFonts w:cs="Calibri"/>
                <w:color w:val="000000"/>
                <w:lang w:val="en-US"/>
              </w:rPr>
              <w:t xml:space="preserve">Partners can choose which level (primary or lower secondary) they report progress on. </w:t>
            </w:r>
          </w:p>
          <w:p w14:paraId="4D58B39E" w14:textId="77777777" w:rsidR="00752B57" w:rsidRDefault="00752B57" w:rsidP="00E47D8F">
            <w:pPr>
              <w:rPr>
                <w:rFonts w:cs="Calibri"/>
                <w:color w:val="000000"/>
                <w:lang w:val="en-US"/>
              </w:rPr>
            </w:pPr>
          </w:p>
          <w:p w14:paraId="5EEF9AF9" w14:textId="77777777" w:rsidR="00E47D8F" w:rsidRDefault="00E47D8F" w:rsidP="00E47D8F">
            <w:pPr>
              <w:rPr>
                <w:rFonts w:cs="Calibri"/>
                <w:color w:val="000000"/>
                <w:lang w:val="en-US"/>
              </w:rPr>
            </w:pPr>
            <w:r w:rsidRPr="00752B57">
              <w:rPr>
                <w:rFonts w:cs="Calibri"/>
                <w:b/>
                <w:color w:val="000000"/>
                <w:lang w:val="en-US"/>
              </w:rPr>
              <w:t>Numerator:</w:t>
            </w:r>
            <w:r w:rsidR="00A170BA">
              <w:rPr>
                <w:rFonts w:cs="Calibri"/>
                <w:color w:val="000000"/>
                <w:lang w:val="en-US"/>
              </w:rPr>
              <w:t xml:space="preserve"> # of students</w:t>
            </w:r>
            <w:r w:rsidR="00752B57">
              <w:rPr>
                <w:rFonts w:cs="Calibri"/>
                <w:color w:val="000000"/>
                <w:lang w:val="en-US"/>
              </w:rPr>
              <w:t xml:space="preserve"> in year x</w:t>
            </w:r>
            <w:r w:rsidR="00A170BA">
              <w:rPr>
                <w:rFonts w:cs="Calibri"/>
                <w:color w:val="000000"/>
                <w:lang w:val="en-US"/>
              </w:rPr>
              <w:t xml:space="preserve"> that have completed primary or lower secondary</w:t>
            </w:r>
            <w:r w:rsidR="00752B57">
              <w:rPr>
                <w:rFonts w:cs="Calibri"/>
                <w:color w:val="000000"/>
                <w:lang w:val="en-US"/>
              </w:rPr>
              <w:t xml:space="preserve"> (by sex and type of marginalization)</w:t>
            </w:r>
          </w:p>
          <w:p w14:paraId="291935D9" w14:textId="77777777" w:rsidR="00E47D8F" w:rsidRPr="00C44970" w:rsidRDefault="00E47D8F" w:rsidP="00E47D8F">
            <w:pPr>
              <w:rPr>
                <w:rFonts w:cs="Calibri"/>
                <w:color w:val="000000"/>
                <w:lang w:val="en-US"/>
              </w:rPr>
            </w:pPr>
            <w:r w:rsidRPr="00752B57">
              <w:rPr>
                <w:rFonts w:cs="Calibri"/>
                <w:b/>
                <w:color w:val="000000"/>
                <w:lang w:val="en-US"/>
              </w:rPr>
              <w:t>Denominator:</w:t>
            </w:r>
            <w:r>
              <w:rPr>
                <w:rFonts w:cs="Calibri"/>
                <w:color w:val="000000"/>
                <w:lang w:val="en-US"/>
              </w:rPr>
              <w:t xml:space="preserve"> </w:t>
            </w:r>
            <w:r w:rsidR="00752B57">
              <w:rPr>
                <w:rFonts w:cs="Calibri"/>
                <w:color w:val="000000"/>
                <w:lang w:val="en-US"/>
              </w:rPr>
              <w:t>Total # of students in primary or lower secondary in year x (by sex and type of marginalization)</w:t>
            </w:r>
          </w:p>
        </w:tc>
      </w:tr>
      <w:tr w:rsidR="00E47D8F" w:rsidRPr="00FA56CA" w14:paraId="0910FE3B" w14:textId="77777777" w:rsidTr="00E47D8F">
        <w:tc>
          <w:tcPr>
            <w:tcW w:w="15304" w:type="dxa"/>
          </w:tcPr>
          <w:p w14:paraId="20EEED44" w14:textId="77777777" w:rsidR="00E47D8F" w:rsidRPr="00C44970" w:rsidRDefault="00E47D8F" w:rsidP="00215EFF">
            <w:pPr>
              <w:pStyle w:val="Default"/>
              <w:rPr>
                <w:rFonts w:asciiTheme="minorHAnsi" w:hAnsiTheme="minorHAnsi"/>
                <w:b/>
                <w:bCs/>
                <w:sz w:val="22"/>
                <w:szCs w:val="22"/>
                <w:lang w:val="en-US"/>
              </w:rPr>
            </w:pPr>
            <w:r w:rsidRPr="00C44970">
              <w:rPr>
                <w:rFonts w:asciiTheme="minorHAnsi" w:hAnsiTheme="minorHAnsi"/>
                <w:b/>
                <w:bCs/>
                <w:sz w:val="22"/>
                <w:szCs w:val="22"/>
                <w:lang w:val="en-US"/>
              </w:rPr>
              <w:t xml:space="preserve">Methodology: </w:t>
            </w:r>
            <w:r w:rsidRPr="00C44970">
              <w:rPr>
                <w:rFonts w:asciiTheme="minorHAnsi" w:hAnsiTheme="minorHAnsi"/>
                <w:bCs/>
                <w:sz w:val="22"/>
                <w:szCs w:val="22"/>
                <w:lang w:val="en-US"/>
              </w:rPr>
              <w:t>Requires enrolment data</w:t>
            </w:r>
            <w:r w:rsidR="00215EFF">
              <w:rPr>
                <w:rFonts w:asciiTheme="minorHAnsi" w:hAnsiTheme="minorHAnsi"/>
                <w:bCs/>
                <w:sz w:val="22"/>
                <w:szCs w:val="22"/>
                <w:lang w:val="en-US"/>
              </w:rPr>
              <w:t xml:space="preserve"> from the final grade of the </w:t>
            </w:r>
            <w:r w:rsidRPr="00C44970">
              <w:rPr>
                <w:rFonts w:asciiTheme="minorHAnsi" w:hAnsiTheme="minorHAnsi"/>
                <w:sz w:val="22"/>
                <w:szCs w:val="22"/>
                <w:lang w:val="en-US"/>
              </w:rPr>
              <w:t>of supported institutions th</w:t>
            </w:r>
            <w:r w:rsidR="00215EFF">
              <w:rPr>
                <w:rFonts w:asciiTheme="minorHAnsi" w:hAnsiTheme="minorHAnsi"/>
                <w:sz w:val="22"/>
                <w:szCs w:val="22"/>
                <w:lang w:val="en-US"/>
              </w:rPr>
              <w:t xml:space="preserve">e year of reporting. </w:t>
            </w:r>
            <w:r w:rsidRPr="00C44970">
              <w:rPr>
                <w:rFonts w:asciiTheme="minorHAnsi" w:hAnsiTheme="minorHAnsi"/>
                <w:sz w:val="22"/>
                <w:szCs w:val="22"/>
                <w:lang w:val="en-US"/>
              </w:rPr>
              <w:t>Collect data based on EMIS</w:t>
            </w:r>
            <w:r w:rsidR="00215EFF">
              <w:rPr>
                <w:rFonts w:asciiTheme="minorHAnsi" w:hAnsiTheme="minorHAnsi"/>
                <w:sz w:val="22"/>
                <w:szCs w:val="22"/>
                <w:lang w:val="en-US"/>
              </w:rPr>
              <w:t xml:space="preserve"> or p</w:t>
            </w:r>
            <w:r w:rsidRPr="00C44970">
              <w:rPr>
                <w:rFonts w:asciiTheme="minorHAnsi" w:hAnsiTheme="minorHAnsi"/>
                <w:sz w:val="22"/>
                <w:szCs w:val="22"/>
                <w:lang w:val="en-US"/>
              </w:rPr>
              <w:t>roject data but include note on reliability of enrolment data source</w:t>
            </w:r>
            <w:r w:rsidR="00215EFF">
              <w:rPr>
                <w:rFonts w:asciiTheme="minorHAnsi" w:hAnsiTheme="minorHAnsi"/>
                <w:sz w:val="22"/>
                <w:szCs w:val="22"/>
                <w:lang w:val="en-US"/>
              </w:rPr>
              <w:t>.</w:t>
            </w:r>
            <w:r w:rsidRPr="00C44970">
              <w:rPr>
                <w:rFonts w:asciiTheme="minorHAnsi" w:hAnsiTheme="minorHAnsi"/>
                <w:sz w:val="22"/>
                <w:szCs w:val="22"/>
                <w:lang w:val="en-US"/>
              </w:rPr>
              <w:t xml:space="preserve"> </w:t>
            </w:r>
            <w:r w:rsidR="00215EFF" w:rsidRPr="00215EFF">
              <w:rPr>
                <w:rFonts w:asciiTheme="minorHAnsi" w:hAnsiTheme="minorHAnsi"/>
                <w:bCs/>
                <w:sz w:val="22"/>
                <w:szCs w:val="22"/>
                <w:lang w:val="en-US"/>
              </w:rPr>
              <w:t xml:space="preserve">In principle, reported upon </w:t>
            </w:r>
            <w:r w:rsidR="00215EFF">
              <w:rPr>
                <w:rFonts w:asciiTheme="minorHAnsi" w:hAnsiTheme="minorHAnsi"/>
                <w:bCs/>
                <w:sz w:val="22"/>
                <w:szCs w:val="22"/>
                <w:lang w:val="en-US"/>
              </w:rPr>
              <w:t xml:space="preserve">in baseline and </w:t>
            </w:r>
            <w:r w:rsidR="00215EFF">
              <w:rPr>
                <w:rFonts w:asciiTheme="minorHAnsi" w:hAnsiTheme="minorHAnsi"/>
                <w:sz w:val="22"/>
                <w:szCs w:val="22"/>
                <w:lang w:val="en-US"/>
              </w:rPr>
              <w:t>endline year.</w:t>
            </w:r>
          </w:p>
        </w:tc>
      </w:tr>
      <w:tr w:rsidR="00752B57" w:rsidRPr="00FA56CA" w14:paraId="52421676" w14:textId="77777777" w:rsidTr="00E47D8F">
        <w:tc>
          <w:tcPr>
            <w:tcW w:w="15304" w:type="dxa"/>
          </w:tcPr>
          <w:p w14:paraId="6BF5DD92" w14:textId="77777777" w:rsidR="00752B57" w:rsidRPr="00C44970" w:rsidRDefault="00752B57" w:rsidP="00E47D8F">
            <w:pPr>
              <w:pStyle w:val="Default"/>
              <w:rPr>
                <w:rFonts w:asciiTheme="minorHAnsi" w:hAnsiTheme="minorHAnsi"/>
                <w:b/>
                <w:bCs/>
                <w:sz w:val="22"/>
                <w:szCs w:val="22"/>
                <w:lang w:val="en-US"/>
              </w:rPr>
            </w:pPr>
            <w:r>
              <w:rPr>
                <w:rFonts w:asciiTheme="minorHAnsi" w:hAnsiTheme="minorHAnsi"/>
                <w:b/>
                <w:bCs/>
                <w:sz w:val="22"/>
                <w:szCs w:val="22"/>
                <w:lang w:val="en-US"/>
              </w:rPr>
              <w:t xml:space="preserve">Type of indicator: </w:t>
            </w:r>
            <w:r w:rsidRPr="00752B57">
              <w:rPr>
                <w:rFonts w:asciiTheme="minorHAnsi" w:hAnsiTheme="minorHAnsi"/>
                <w:bCs/>
                <w:sz w:val="22"/>
                <w:szCs w:val="22"/>
                <w:lang w:val="en-US"/>
              </w:rPr>
              <w:t>Outcome, not cumulative</w:t>
            </w:r>
          </w:p>
        </w:tc>
      </w:tr>
      <w:tr w:rsidR="00E47D8F" w:rsidRPr="00FA56CA" w14:paraId="469F2A4A" w14:textId="77777777" w:rsidTr="00E47D8F">
        <w:tc>
          <w:tcPr>
            <w:tcW w:w="15304" w:type="dxa"/>
            <w:shd w:val="clear" w:color="auto" w:fill="A8D08D" w:themeFill="accent6" w:themeFillTint="99"/>
            <w:vAlign w:val="center"/>
          </w:tcPr>
          <w:p w14:paraId="4C648069" w14:textId="77777777" w:rsidR="00E47D8F" w:rsidRPr="00C44970" w:rsidRDefault="00215EFF" w:rsidP="00E47D8F">
            <w:pPr>
              <w:rPr>
                <w:b/>
                <w:bCs/>
                <w:lang w:val="en-US"/>
              </w:rPr>
            </w:pPr>
            <w:r>
              <w:rPr>
                <w:rFonts w:eastAsia="Times New Roman" w:cs="Times New Roman"/>
                <w:color w:val="000000"/>
                <w:lang w:val="en-GB" w:eastAsia="en-GB" w:bidi="ar-SA"/>
              </w:rPr>
              <w:t>Indicator 1.2</w:t>
            </w:r>
            <w:r w:rsidR="00E47D8F" w:rsidRPr="00C44970">
              <w:rPr>
                <w:rFonts w:eastAsia="Times New Roman" w:cs="Times New Roman"/>
                <w:color w:val="000000"/>
                <w:lang w:val="en-GB" w:eastAsia="en-GB" w:bidi="ar-SA"/>
              </w:rPr>
              <w:t>: % and # of students enrolled in supported learning institutions that remain in the learning institution the following year</w:t>
            </w:r>
            <w:r w:rsidR="00C44947">
              <w:rPr>
                <w:rFonts w:eastAsia="Times New Roman" w:cs="Times New Roman"/>
                <w:color w:val="000000"/>
                <w:lang w:val="en-GB" w:eastAsia="en-GB" w:bidi="ar-SA"/>
              </w:rPr>
              <w:t xml:space="preserve"> (</w:t>
            </w:r>
            <w:r w:rsidR="00C44947" w:rsidRPr="00752B57">
              <w:rPr>
                <w:rFonts w:eastAsia="Times New Roman" w:cs="Times New Roman"/>
                <w:color w:val="000000"/>
                <w:lang w:val="en-GB" w:eastAsia="en-GB" w:bidi="ar-SA"/>
              </w:rPr>
              <w:t>Sex</w:t>
            </w:r>
            <w:r w:rsidR="00C44947">
              <w:rPr>
                <w:rFonts w:eastAsia="Times New Roman" w:cs="Times New Roman"/>
                <w:color w:val="000000"/>
                <w:lang w:val="en-GB" w:eastAsia="en-GB" w:bidi="ar-SA"/>
              </w:rPr>
              <w:t>, type of marginalisation (if available)</w:t>
            </w:r>
          </w:p>
        </w:tc>
      </w:tr>
      <w:tr w:rsidR="00E47D8F" w:rsidRPr="00FA56CA" w14:paraId="5A221774" w14:textId="77777777" w:rsidTr="00E47D8F">
        <w:tc>
          <w:tcPr>
            <w:tcW w:w="15304" w:type="dxa"/>
          </w:tcPr>
          <w:p w14:paraId="6326332B" w14:textId="77777777" w:rsidR="00E47D8F" w:rsidRDefault="00E47D8F" w:rsidP="00E47D8F">
            <w:pPr>
              <w:autoSpaceDE w:val="0"/>
              <w:autoSpaceDN w:val="0"/>
              <w:adjustRightInd w:val="0"/>
              <w:rPr>
                <w:rFonts w:cs="TimesNewRoman"/>
                <w:lang w:val="en-GB" w:bidi="ar-SA"/>
              </w:rPr>
            </w:pPr>
            <w:r w:rsidRPr="00C44970">
              <w:rPr>
                <w:b/>
                <w:bCs/>
                <w:lang w:val="en-US"/>
              </w:rPr>
              <w:t xml:space="preserve">Definition: </w:t>
            </w:r>
            <w:r w:rsidRPr="00C44970">
              <w:rPr>
                <w:rFonts w:cs="TimesNewRoman"/>
                <w:lang w:val="en-GB" w:bidi="ar-SA"/>
              </w:rPr>
              <w:t>Proportion and number of learners from a cohort enrolled in a given grade at a given school year who are enrolled in the following school year, regardless of repetition (NB this is the inverse of the Dropout Rate as defined by UIS 2009)</w:t>
            </w:r>
          </w:p>
          <w:p w14:paraId="4B85F41A" w14:textId="77777777" w:rsidR="00C44947" w:rsidRPr="00C44970" w:rsidRDefault="00C44947" w:rsidP="00E47D8F">
            <w:pPr>
              <w:autoSpaceDE w:val="0"/>
              <w:autoSpaceDN w:val="0"/>
              <w:adjustRightInd w:val="0"/>
              <w:rPr>
                <w:rFonts w:cs="TimesNewRoman"/>
                <w:lang w:val="en-GB" w:bidi="ar-SA"/>
              </w:rPr>
            </w:pPr>
          </w:p>
          <w:p w14:paraId="6CF27078" w14:textId="77777777" w:rsidR="00E47D8F" w:rsidRPr="00C44970" w:rsidRDefault="00E47D8F" w:rsidP="00E47D8F">
            <w:pPr>
              <w:rPr>
                <w:b/>
                <w:bCs/>
                <w:lang w:val="en-US"/>
              </w:rPr>
            </w:pPr>
            <w:r w:rsidRPr="00C44970">
              <w:rPr>
                <w:b/>
                <w:bCs/>
                <w:lang w:val="en-US"/>
              </w:rPr>
              <w:t>N</w:t>
            </w:r>
            <w:r>
              <w:rPr>
                <w:b/>
                <w:bCs/>
                <w:lang w:val="en-US"/>
              </w:rPr>
              <w:t>umer</w:t>
            </w:r>
            <w:r w:rsidRPr="00C44970">
              <w:rPr>
                <w:b/>
                <w:bCs/>
                <w:lang w:val="en-US"/>
              </w:rPr>
              <w:t xml:space="preserve">ator: </w:t>
            </w:r>
            <w:r w:rsidRPr="00C44970">
              <w:rPr>
                <w:lang w:val="en-US"/>
              </w:rPr>
              <w:t># of learners enrolled in supported learning institution in grades 2 upwards who were enrolled during the previous school year</w:t>
            </w:r>
          </w:p>
          <w:p w14:paraId="2BD1A26E" w14:textId="77777777" w:rsidR="00E47D8F" w:rsidRPr="00C44970" w:rsidRDefault="00E47D8F" w:rsidP="00E47D8F">
            <w:pPr>
              <w:autoSpaceDE w:val="0"/>
              <w:autoSpaceDN w:val="0"/>
              <w:adjustRightInd w:val="0"/>
              <w:rPr>
                <w:b/>
                <w:bCs/>
                <w:lang w:val="en-US"/>
              </w:rPr>
            </w:pPr>
            <w:r w:rsidRPr="00C44970">
              <w:rPr>
                <w:b/>
                <w:bCs/>
                <w:lang w:val="en-US"/>
              </w:rPr>
              <w:t xml:space="preserve">Denominator: </w:t>
            </w:r>
            <w:r w:rsidRPr="00C44970">
              <w:rPr>
                <w:lang w:val="en-US"/>
              </w:rPr>
              <w:t># of learners enrolled in supported learning institution in all grades except the final grade in previous school year</w:t>
            </w:r>
          </w:p>
          <w:p w14:paraId="24513319" w14:textId="77777777" w:rsidR="00E47D8F" w:rsidRPr="00C44970" w:rsidRDefault="00E47D8F" w:rsidP="00E47D8F">
            <w:pPr>
              <w:rPr>
                <w:b/>
                <w:bCs/>
                <w:highlight w:val="lightGray"/>
                <w:lang w:val="en-US"/>
              </w:rPr>
            </w:pPr>
          </w:p>
        </w:tc>
      </w:tr>
      <w:tr w:rsidR="00E47D8F" w:rsidRPr="00FA56CA" w14:paraId="2C9CD44C" w14:textId="77777777" w:rsidTr="00E47D8F">
        <w:tc>
          <w:tcPr>
            <w:tcW w:w="15304" w:type="dxa"/>
          </w:tcPr>
          <w:p w14:paraId="68EAA105" w14:textId="77777777" w:rsidR="00E47D8F" w:rsidRPr="00C44970" w:rsidRDefault="00E47D8F" w:rsidP="00E47D8F">
            <w:pPr>
              <w:pStyle w:val="Default"/>
              <w:rPr>
                <w:rFonts w:asciiTheme="minorHAnsi" w:hAnsiTheme="minorHAnsi"/>
                <w:b/>
                <w:bCs/>
                <w:sz w:val="22"/>
                <w:szCs w:val="22"/>
                <w:lang w:val="en-US"/>
              </w:rPr>
            </w:pPr>
            <w:r w:rsidRPr="00C44970">
              <w:rPr>
                <w:rFonts w:asciiTheme="minorHAnsi" w:hAnsiTheme="minorHAnsi"/>
                <w:b/>
                <w:bCs/>
                <w:sz w:val="22"/>
                <w:szCs w:val="22"/>
                <w:lang w:val="en-US"/>
              </w:rPr>
              <w:t xml:space="preserve">Methodology: </w:t>
            </w:r>
            <w:r w:rsidRPr="00C44970">
              <w:rPr>
                <w:rFonts w:asciiTheme="minorHAnsi" w:hAnsiTheme="minorHAnsi"/>
                <w:bCs/>
                <w:sz w:val="22"/>
                <w:szCs w:val="22"/>
                <w:lang w:val="en-US"/>
              </w:rPr>
              <w:t>Requires enrolment data by grade for two subsequent years.</w:t>
            </w:r>
            <w:r w:rsidRPr="00C44970">
              <w:rPr>
                <w:rFonts w:asciiTheme="minorHAnsi" w:hAnsiTheme="minorHAnsi"/>
                <w:b/>
                <w:bCs/>
                <w:sz w:val="22"/>
                <w:szCs w:val="22"/>
                <w:lang w:val="en-US"/>
              </w:rPr>
              <w:t xml:space="preserve"> </w:t>
            </w:r>
            <w:r w:rsidRPr="00C44970">
              <w:rPr>
                <w:rFonts w:asciiTheme="minorHAnsi" w:hAnsiTheme="minorHAnsi"/>
                <w:bCs/>
                <w:sz w:val="22"/>
                <w:szCs w:val="22"/>
                <w:lang w:val="en-US"/>
              </w:rPr>
              <w:t>Alternatively, can be calculated as the sum of the promotion rate and the repetition rate if these data are available through EMIS</w:t>
            </w:r>
          </w:p>
          <w:p w14:paraId="0C301B87" w14:textId="77777777" w:rsidR="00E47D8F" w:rsidRPr="00C44970" w:rsidRDefault="00E47D8F" w:rsidP="00E47D8F">
            <w:pPr>
              <w:pStyle w:val="Default"/>
              <w:rPr>
                <w:rFonts w:asciiTheme="minorHAnsi" w:hAnsiTheme="minorHAnsi"/>
                <w:sz w:val="22"/>
                <w:szCs w:val="22"/>
                <w:lang w:val="en-US"/>
              </w:rPr>
            </w:pPr>
          </w:p>
        </w:tc>
      </w:tr>
      <w:tr w:rsidR="00C44947" w:rsidRPr="00FA56CA" w14:paraId="07A94A11" w14:textId="77777777" w:rsidTr="00E47D8F">
        <w:tc>
          <w:tcPr>
            <w:tcW w:w="15304" w:type="dxa"/>
          </w:tcPr>
          <w:p w14:paraId="178941AD" w14:textId="77777777" w:rsidR="00C44947" w:rsidRPr="00C44970" w:rsidRDefault="00C44947" w:rsidP="00E47D8F">
            <w:pPr>
              <w:pStyle w:val="Default"/>
              <w:rPr>
                <w:rFonts w:asciiTheme="minorHAnsi" w:hAnsiTheme="minorHAnsi"/>
                <w:b/>
                <w:bCs/>
                <w:sz w:val="22"/>
                <w:szCs w:val="22"/>
                <w:lang w:val="en-US"/>
              </w:rPr>
            </w:pPr>
            <w:r>
              <w:rPr>
                <w:rFonts w:asciiTheme="minorHAnsi" w:hAnsiTheme="minorHAnsi"/>
                <w:b/>
                <w:bCs/>
                <w:sz w:val="22"/>
                <w:szCs w:val="22"/>
                <w:lang w:val="en-US"/>
              </w:rPr>
              <w:t xml:space="preserve">Type of indicator: </w:t>
            </w:r>
            <w:r w:rsidRPr="00752B57">
              <w:rPr>
                <w:rFonts w:asciiTheme="minorHAnsi" w:hAnsiTheme="minorHAnsi"/>
                <w:bCs/>
                <w:sz w:val="22"/>
                <w:szCs w:val="22"/>
                <w:lang w:val="en-US"/>
              </w:rPr>
              <w:t>Outcome, not cumulative</w:t>
            </w:r>
          </w:p>
        </w:tc>
      </w:tr>
      <w:tr w:rsidR="00E47D8F" w:rsidRPr="00FA56CA" w14:paraId="66AB4B74" w14:textId="77777777" w:rsidTr="00E47D8F">
        <w:tc>
          <w:tcPr>
            <w:tcW w:w="15304" w:type="dxa"/>
            <w:shd w:val="clear" w:color="auto" w:fill="E2EFD9" w:themeFill="accent6" w:themeFillTint="33"/>
            <w:vAlign w:val="center"/>
          </w:tcPr>
          <w:p w14:paraId="048B14D8" w14:textId="77777777" w:rsidR="00E47D8F" w:rsidRPr="00C44970" w:rsidRDefault="00E47D8F" w:rsidP="00E47D8F">
            <w:pPr>
              <w:rPr>
                <w:rFonts w:eastAsia="Times New Roman" w:cs="Times New Roman"/>
                <w:color w:val="000000"/>
                <w:lang w:val="en-GB" w:eastAsia="en-GB" w:bidi="ar-SA"/>
              </w:rPr>
            </w:pPr>
            <w:r w:rsidRPr="00C44970">
              <w:rPr>
                <w:rFonts w:eastAsia="Times New Roman" w:cs="Times New Roman"/>
                <w:color w:val="000000"/>
                <w:lang w:val="en-GB" w:eastAsia="en-GB" w:bidi="ar-SA"/>
              </w:rPr>
              <w:t>Outcome 1.1: Parents and local communities are engaged in education</w:t>
            </w:r>
          </w:p>
        </w:tc>
      </w:tr>
      <w:tr w:rsidR="00E47D8F" w:rsidRPr="00FA56CA" w14:paraId="7BDAC92F" w14:textId="77777777" w:rsidTr="00E47D8F">
        <w:tc>
          <w:tcPr>
            <w:tcW w:w="15304" w:type="dxa"/>
            <w:shd w:val="clear" w:color="auto" w:fill="E2EFD9" w:themeFill="accent6" w:themeFillTint="33"/>
            <w:vAlign w:val="center"/>
          </w:tcPr>
          <w:p w14:paraId="547A88B1" w14:textId="77777777" w:rsidR="00E47D8F" w:rsidRPr="00C44970" w:rsidRDefault="00C44947" w:rsidP="00E47D8F">
            <w:pPr>
              <w:rPr>
                <w:b/>
                <w:bCs/>
                <w:lang w:val="en-US"/>
              </w:rPr>
            </w:pPr>
            <w:r>
              <w:rPr>
                <w:rFonts w:eastAsia="Times New Roman" w:cs="Times New Roman"/>
                <w:color w:val="000000"/>
                <w:lang w:val="en-GB" w:eastAsia="en-GB" w:bidi="ar-SA"/>
              </w:rPr>
              <w:t>Indicator 1.1.1: #</w:t>
            </w:r>
            <w:r w:rsidR="00E47D8F" w:rsidRPr="00C44970">
              <w:rPr>
                <w:rFonts w:eastAsia="Times New Roman" w:cs="Times New Roman"/>
                <w:color w:val="000000"/>
                <w:lang w:val="en-GB" w:eastAsia="en-GB" w:bidi="ar-SA"/>
              </w:rPr>
              <w:t xml:space="preserve"> of out of school children supported to enrol into educational institutions</w:t>
            </w:r>
          </w:p>
        </w:tc>
      </w:tr>
      <w:tr w:rsidR="00E47D8F" w:rsidRPr="00FA56CA" w14:paraId="793A6577" w14:textId="77777777" w:rsidTr="00E47D8F">
        <w:tc>
          <w:tcPr>
            <w:tcW w:w="15304" w:type="dxa"/>
          </w:tcPr>
          <w:p w14:paraId="13651CF1" w14:textId="77777777" w:rsidR="00116604" w:rsidRDefault="00116604" w:rsidP="00E47D8F">
            <w:pPr>
              <w:pStyle w:val="Default"/>
              <w:jc w:val="both"/>
              <w:rPr>
                <w:rFonts w:asciiTheme="minorHAnsi" w:hAnsiTheme="minorHAnsi"/>
                <w:b/>
                <w:bCs/>
                <w:sz w:val="22"/>
                <w:szCs w:val="22"/>
                <w:lang w:val="en-US"/>
              </w:rPr>
            </w:pPr>
            <w:r>
              <w:rPr>
                <w:rFonts w:asciiTheme="minorHAnsi" w:hAnsiTheme="minorHAnsi"/>
                <w:b/>
                <w:bCs/>
                <w:sz w:val="22"/>
                <w:szCs w:val="22"/>
                <w:lang w:val="en-US"/>
              </w:rPr>
              <w:t xml:space="preserve">Number of children of school going age that have not been in school the last x months (to be decided by partner and context) that enroll in supported schools. </w:t>
            </w:r>
          </w:p>
          <w:p w14:paraId="29140F9C" w14:textId="77777777" w:rsidR="00116604" w:rsidRDefault="00116604" w:rsidP="00E47D8F">
            <w:pPr>
              <w:pStyle w:val="Default"/>
              <w:jc w:val="both"/>
              <w:rPr>
                <w:rFonts w:asciiTheme="minorHAnsi" w:hAnsiTheme="minorHAnsi"/>
                <w:b/>
                <w:bCs/>
                <w:sz w:val="22"/>
                <w:szCs w:val="22"/>
                <w:lang w:val="en-US"/>
              </w:rPr>
            </w:pPr>
          </w:p>
          <w:p w14:paraId="01A7A725" w14:textId="77777777" w:rsidR="00116604" w:rsidRDefault="00E47D8F" w:rsidP="00E47D8F">
            <w:pPr>
              <w:pStyle w:val="Default"/>
              <w:jc w:val="both"/>
              <w:rPr>
                <w:rFonts w:asciiTheme="minorHAnsi" w:hAnsiTheme="minorHAnsi"/>
                <w:bCs/>
                <w:sz w:val="22"/>
                <w:szCs w:val="22"/>
                <w:lang w:val="en-US"/>
              </w:rPr>
            </w:pPr>
            <w:r w:rsidRPr="00C44970">
              <w:rPr>
                <w:rFonts w:asciiTheme="minorHAnsi" w:hAnsiTheme="minorHAnsi"/>
                <w:b/>
                <w:bCs/>
                <w:sz w:val="22"/>
                <w:szCs w:val="22"/>
                <w:lang w:val="en-US"/>
              </w:rPr>
              <w:t xml:space="preserve">Definition: </w:t>
            </w:r>
            <w:r w:rsidRPr="00C44970">
              <w:rPr>
                <w:rFonts w:asciiTheme="minorHAnsi" w:hAnsiTheme="minorHAnsi"/>
                <w:bCs/>
                <w:sz w:val="22"/>
                <w:szCs w:val="22"/>
                <w:lang w:val="en-US"/>
              </w:rPr>
              <w:t>Children of official school age who are not enrolled in school</w:t>
            </w:r>
            <w:r w:rsidRPr="00C44970">
              <w:rPr>
                <w:rFonts w:asciiTheme="minorHAnsi" w:hAnsiTheme="minorHAnsi"/>
                <w:b/>
                <w:bCs/>
                <w:sz w:val="22"/>
                <w:szCs w:val="22"/>
                <w:lang w:val="en-US"/>
              </w:rPr>
              <w:t xml:space="preserve"> </w:t>
            </w:r>
            <w:r w:rsidRPr="00C44970">
              <w:rPr>
                <w:rFonts w:asciiTheme="minorHAnsi" w:hAnsiTheme="minorHAnsi"/>
                <w:bCs/>
                <w:sz w:val="22"/>
                <w:szCs w:val="22"/>
                <w:lang w:val="en-US"/>
              </w:rPr>
              <w:t xml:space="preserve">but are then enabled to enroll </w:t>
            </w:r>
            <w:r>
              <w:rPr>
                <w:rFonts w:asciiTheme="minorHAnsi" w:hAnsiTheme="minorHAnsi"/>
                <w:bCs/>
                <w:sz w:val="22"/>
                <w:szCs w:val="22"/>
                <w:lang w:val="en-US"/>
              </w:rPr>
              <w:t xml:space="preserve">in primary, lower secondary or alternative basic education </w:t>
            </w:r>
            <w:r w:rsidRPr="00C44970">
              <w:rPr>
                <w:rFonts w:asciiTheme="minorHAnsi" w:hAnsiTheme="minorHAnsi"/>
                <w:bCs/>
                <w:sz w:val="22"/>
                <w:szCs w:val="22"/>
                <w:lang w:val="en-US"/>
              </w:rPr>
              <w:t xml:space="preserve">due to interventions funded by </w:t>
            </w:r>
            <w:r w:rsidR="00C44947">
              <w:rPr>
                <w:rFonts w:asciiTheme="minorHAnsi" w:hAnsiTheme="minorHAnsi"/>
                <w:bCs/>
                <w:sz w:val="22"/>
                <w:szCs w:val="22"/>
                <w:lang w:val="en-US"/>
              </w:rPr>
              <w:t xml:space="preserve">programme/project. </w:t>
            </w:r>
            <w:r>
              <w:rPr>
                <w:rFonts w:asciiTheme="minorHAnsi" w:hAnsiTheme="minorHAnsi"/>
                <w:bCs/>
                <w:sz w:val="22"/>
                <w:szCs w:val="22"/>
                <w:lang w:val="en-US"/>
              </w:rPr>
              <w:t>Interventions</w:t>
            </w:r>
            <w:r w:rsidRPr="00C44970">
              <w:rPr>
                <w:rFonts w:asciiTheme="minorHAnsi" w:hAnsiTheme="minorHAnsi"/>
                <w:bCs/>
                <w:sz w:val="22"/>
                <w:szCs w:val="22"/>
                <w:lang w:val="en-US"/>
              </w:rPr>
              <w:t xml:space="preserve"> can include: </w:t>
            </w:r>
            <w:r w:rsidRPr="00C44970">
              <w:rPr>
                <w:rFonts w:asciiTheme="minorHAnsi" w:hAnsiTheme="minorHAnsi"/>
                <w:bCs/>
                <w:i/>
                <w:sz w:val="22"/>
                <w:szCs w:val="22"/>
                <w:lang w:val="en-US"/>
              </w:rPr>
              <w:t>new capacity</w:t>
            </w:r>
            <w:r w:rsidRPr="00C44970">
              <w:rPr>
                <w:rFonts w:asciiTheme="minorHAnsi" w:hAnsiTheme="minorHAnsi"/>
                <w:bCs/>
                <w:sz w:val="22"/>
                <w:szCs w:val="22"/>
                <w:lang w:val="en-US"/>
              </w:rPr>
              <w:t xml:space="preserve"> generated though Norwegian ODA (e.g. new classrooms, schools, temporary learning spaces, alternative education programmes); </w:t>
            </w:r>
            <w:r w:rsidRPr="00C44970">
              <w:rPr>
                <w:rFonts w:asciiTheme="minorHAnsi" w:hAnsiTheme="minorHAnsi"/>
                <w:bCs/>
                <w:i/>
                <w:sz w:val="22"/>
                <w:szCs w:val="22"/>
                <w:lang w:val="en-US"/>
              </w:rPr>
              <w:t xml:space="preserve">demand side interventions </w:t>
            </w:r>
            <w:r w:rsidRPr="00C44970">
              <w:rPr>
                <w:rFonts w:asciiTheme="minorHAnsi" w:hAnsiTheme="minorHAnsi"/>
                <w:bCs/>
                <w:sz w:val="22"/>
                <w:szCs w:val="22"/>
                <w:lang w:val="en-US"/>
              </w:rPr>
              <w:t xml:space="preserve">(e.g. scholarships, cash transfers, community awareness raising, back to school kits) or interventions to address other supply side barriers ( e.g. overcoming requirements for documentation to enroll in schooling, overcoming/ overturning </w:t>
            </w:r>
            <w:r>
              <w:rPr>
                <w:rFonts w:asciiTheme="minorHAnsi" w:hAnsiTheme="minorHAnsi"/>
                <w:bCs/>
                <w:sz w:val="22"/>
                <w:szCs w:val="22"/>
                <w:lang w:val="en-US"/>
              </w:rPr>
              <w:t>restrictions</w:t>
            </w:r>
            <w:r w:rsidRPr="00C44970">
              <w:rPr>
                <w:rFonts w:asciiTheme="minorHAnsi" w:hAnsiTheme="minorHAnsi"/>
                <w:bCs/>
                <w:sz w:val="22"/>
                <w:szCs w:val="22"/>
                <w:lang w:val="en-US"/>
              </w:rPr>
              <w:t xml:space="preserve"> on expectant mothers attending school, creating safe routes to school, making schools accessible to children with disabilities)</w:t>
            </w:r>
            <w:r w:rsidR="00116604">
              <w:rPr>
                <w:rFonts w:asciiTheme="minorHAnsi" w:hAnsiTheme="minorHAnsi"/>
                <w:bCs/>
                <w:sz w:val="22"/>
                <w:szCs w:val="22"/>
                <w:lang w:val="en-US"/>
              </w:rPr>
              <w:t xml:space="preserve">. </w:t>
            </w:r>
          </w:p>
          <w:p w14:paraId="17C3F742" w14:textId="77777777" w:rsidR="00116604" w:rsidRDefault="00116604" w:rsidP="00E47D8F">
            <w:pPr>
              <w:pStyle w:val="Default"/>
              <w:jc w:val="both"/>
              <w:rPr>
                <w:rFonts w:asciiTheme="minorHAnsi" w:hAnsiTheme="minorHAnsi"/>
                <w:b/>
                <w:bCs/>
                <w:sz w:val="22"/>
                <w:szCs w:val="22"/>
                <w:lang w:val="en-US"/>
              </w:rPr>
            </w:pPr>
          </w:p>
          <w:p w14:paraId="53F15706" w14:textId="77777777" w:rsidR="00116604" w:rsidRPr="00C44970" w:rsidRDefault="00116604" w:rsidP="00E47D8F">
            <w:pPr>
              <w:pStyle w:val="Default"/>
              <w:jc w:val="both"/>
              <w:rPr>
                <w:rFonts w:asciiTheme="minorHAnsi" w:hAnsiTheme="minorHAnsi"/>
                <w:bCs/>
                <w:sz w:val="22"/>
                <w:szCs w:val="22"/>
                <w:lang w:val="en-US"/>
              </w:rPr>
            </w:pPr>
            <w:r w:rsidRPr="00116604">
              <w:rPr>
                <w:rFonts w:asciiTheme="minorHAnsi" w:hAnsiTheme="minorHAnsi"/>
                <w:b/>
                <w:bCs/>
                <w:sz w:val="22"/>
                <w:szCs w:val="22"/>
                <w:lang w:val="en-US"/>
              </w:rPr>
              <w:t>Out of school:</w:t>
            </w:r>
            <w:r>
              <w:rPr>
                <w:rFonts w:asciiTheme="minorHAnsi" w:hAnsiTheme="minorHAnsi"/>
                <w:bCs/>
                <w:sz w:val="22"/>
                <w:szCs w:val="22"/>
                <w:lang w:val="en-US"/>
              </w:rPr>
              <w:t xml:space="preserve"> The definition of an out of school child will vary from partner to partner and context to context. Partners can themselves define how long a child has been without attending any form of organized learning before he or she can be defined as out of school.</w:t>
            </w:r>
          </w:p>
          <w:p w14:paraId="6CA4616C" w14:textId="77777777" w:rsidR="00E47D8F" w:rsidRPr="00C44970" w:rsidRDefault="00E47D8F" w:rsidP="00C44947">
            <w:pPr>
              <w:pStyle w:val="Default"/>
              <w:rPr>
                <w:rFonts w:asciiTheme="minorHAnsi" w:hAnsiTheme="minorHAnsi"/>
                <w:b/>
                <w:bCs/>
                <w:sz w:val="22"/>
                <w:szCs w:val="22"/>
                <w:highlight w:val="lightGray"/>
                <w:lang w:val="en-US"/>
              </w:rPr>
            </w:pPr>
          </w:p>
        </w:tc>
      </w:tr>
      <w:tr w:rsidR="00E47D8F" w:rsidRPr="00FA56CA" w14:paraId="232F6A96" w14:textId="77777777" w:rsidTr="00E47D8F">
        <w:tc>
          <w:tcPr>
            <w:tcW w:w="15304" w:type="dxa"/>
          </w:tcPr>
          <w:p w14:paraId="50538289" w14:textId="77777777" w:rsidR="00E47D8F" w:rsidRPr="00C44970" w:rsidRDefault="00E47D8F" w:rsidP="00E47D8F">
            <w:pPr>
              <w:pStyle w:val="Default"/>
              <w:rPr>
                <w:rFonts w:asciiTheme="minorHAnsi" w:hAnsiTheme="minorHAnsi"/>
                <w:b/>
                <w:bCs/>
                <w:sz w:val="22"/>
                <w:szCs w:val="22"/>
                <w:lang w:val="en-US"/>
              </w:rPr>
            </w:pPr>
            <w:r w:rsidRPr="00C44970">
              <w:rPr>
                <w:rFonts w:asciiTheme="minorHAnsi" w:hAnsiTheme="minorHAnsi"/>
                <w:b/>
                <w:bCs/>
                <w:sz w:val="22"/>
                <w:szCs w:val="22"/>
                <w:lang w:val="en-US"/>
              </w:rPr>
              <w:t>Methodology:</w:t>
            </w:r>
          </w:p>
          <w:p w14:paraId="2EC3A8CC" w14:textId="77777777" w:rsidR="00E47D8F" w:rsidRPr="00116604" w:rsidRDefault="00E47D8F" w:rsidP="00116604">
            <w:pPr>
              <w:pStyle w:val="Default"/>
              <w:rPr>
                <w:rFonts w:asciiTheme="minorHAnsi" w:hAnsiTheme="minorHAnsi"/>
                <w:bCs/>
                <w:sz w:val="22"/>
                <w:szCs w:val="22"/>
                <w:lang w:val="en-US"/>
              </w:rPr>
            </w:pPr>
            <w:r w:rsidRPr="00C44970">
              <w:rPr>
                <w:rFonts w:asciiTheme="minorHAnsi" w:hAnsiTheme="minorHAnsi"/>
                <w:bCs/>
                <w:sz w:val="22"/>
                <w:szCs w:val="22"/>
                <w:lang w:val="en-US"/>
              </w:rPr>
              <w:t>The most appropriate methodology will depend on</w:t>
            </w:r>
            <w:r w:rsidR="00116604">
              <w:rPr>
                <w:rFonts w:asciiTheme="minorHAnsi" w:hAnsiTheme="minorHAnsi"/>
                <w:bCs/>
                <w:sz w:val="22"/>
                <w:szCs w:val="22"/>
                <w:lang w:val="en-US"/>
              </w:rPr>
              <w:t xml:space="preserve"> the intervention and context. Document through enrolment register in target schools if children enrolling have been out of school </w:t>
            </w:r>
            <w:r w:rsidRPr="00C44970">
              <w:rPr>
                <w:rFonts w:asciiTheme="minorHAnsi" w:hAnsiTheme="minorHAnsi"/>
                <w:bCs/>
                <w:sz w:val="22"/>
                <w:szCs w:val="22"/>
                <w:lang w:val="en-US"/>
              </w:rPr>
              <w:t>included in the count were previously out of school and not merely transfers from other education institutions</w:t>
            </w:r>
            <w:r w:rsidR="00116604">
              <w:rPr>
                <w:rFonts w:asciiTheme="minorHAnsi" w:hAnsiTheme="minorHAnsi"/>
                <w:bCs/>
                <w:sz w:val="22"/>
                <w:szCs w:val="22"/>
                <w:lang w:val="en-US"/>
              </w:rPr>
              <w:t xml:space="preserve">. </w:t>
            </w:r>
          </w:p>
        </w:tc>
      </w:tr>
      <w:tr w:rsidR="00116604" w:rsidRPr="00FA56CA" w14:paraId="679C4955" w14:textId="77777777" w:rsidTr="00E47D8F">
        <w:tc>
          <w:tcPr>
            <w:tcW w:w="15304" w:type="dxa"/>
          </w:tcPr>
          <w:p w14:paraId="6D18B31D" w14:textId="77777777" w:rsidR="00116604" w:rsidRPr="00C44970" w:rsidRDefault="00116604" w:rsidP="00E47D8F">
            <w:pPr>
              <w:pStyle w:val="Default"/>
              <w:rPr>
                <w:rFonts w:asciiTheme="minorHAnsi" w:hAnsiTheme="minorHAnsi"/>
                <w:b/>
                <w:bCs/>
                <w:sz w:val="22"/>
                <w:szCs w:val="22"/>
                <w:lang w:val="en-US"/>
              </w:rPr>
            </w:pPr>
            <w:r>
              <w:rPr>
                <w:rFonts w:asciiTheme="minorHAnsi" w:hAnsiTheme="minorHAnsi"/>
                <w:b/>
                <w:bCs/>
                <w:sz w:val="22"/>
                <w:szCs w:val="22"/>
                <w:lang w:val="en-US"/>
              </w:rPr>
              <w:t xml:space="preserve">Type of indicator: </w:t>
            </w:r>
            <w:r w:rsidR="001F5AF1">
              <w:rPr>
                <w:rFonts w:asciiTheme="minorHAnsi" w:hAnsiTheme="minorHAnsi"/>
                <w:bCs/>
                <w:sz w:val="22"/>
                <w:szCs w:val="22"/>
                <w:lang w:val="en-US"/>
              </w:rPr>
              <w:t>Output</w:t>
            </w:r>
            <w:r>
              <w:rPr>
                <w:rFonts w:asciiTheme="minorHAnsi" w:hAnsiTheme="minorHAnsi"/>
                <w:bCs/>
                <w:sz w:val="22"/>
                <w:szCs w:val="22"/>
                <w:lang w:val="en-US"/>
              </w:rPr>
              <w:t xml:space="preserve">, </w:t>
            </w:r>
            <w:r w:rsidRPr="00752B57">
              <w:rPr>
                <w:rFonts w:asciiTheme="minorHAnsi" w:hAnsiTheme="minorHAnsi"/>
                <w:bCs/>
                <w:sz w:val="22"/>
                <w:szCs w:val="22"/>
                <w:lang w:val="en-US"/>
              </w:rPr>
              <w:t>cumulative</w:t>
            </w:r>
          </w:p>
        </w:tc>
      </w:tr>
      <w:tr w:rsidR="00E47D8F" w:rsidRPr="00C44970" w14:paraId="750F93F5" w14:textId="77777777" w:rsidTr="00E47D8F">
        <w:tc>
          <w:tcPr>
            <w:tcW w:w="15304" w:type="dxa"/>
            <w:shd w:val="clear" w:color="auto" w:fill="E2EFD9" w:themeFill="accent6" w:themeFillTint="33"/>
          </w:tcPr>
          <w:p w14:paraId="71B62DFF" w14:textId="77777777" w:rsidR="00E47D8F" w:rsidRPr="00C44970" w:rsidRDefault="00E47D8F" w:rsidP="00E47D8F">
            <w:pPr>
              <w:rPr>
                <w:rFonts w:eastAsia="Times New Roman" w:cs="Times New Roman"/>
                <w:color w:val="000000"/>
                <w:lang w:val="en-GB" w:eastAsia="en-GB" w:bidi="ar-SA"/>
              </w:rPr>
            </w:pPr>
            <w:r w:rsidRPr="00C44970">
              <w:rPr>
                <w:rFonts w:eastAsia="Times New Roman" w:cs="Times New Roman"/>
                <w:color w:val="000000"/>
                <w:lang w:val="en-GB" w:eastAsia="en-GB" w:bidi="ar-SA"/>
              </w:rPr>
              <w:t>Outcome 1.2: School infrastructure</w:t>
            </w:r>
          </w:p>
        </w:tc>
      </w:tr>
      <w:tr w:rsidR="00E47D8F" w:rsidRPr="00FA56CA" w14:paraId="71CDB77C" w14:textId="77777777" w:rsidTr="00E47D8F">
        <w:tc>
          <w:tcPr>
            <w:tcW w:w="15304" w:type="dxa"/>
            <w:shd w:val="clear" w:color="auto" w:fill="E2EFD9" w:themeFill="accent6" w:themeFillTint="33"/>
          </w:tcPr>
          <w:p w14:paraId="71AC15D0" w14:textId="77777777" w:rsidR="00E47D8F" w:rsidRPr="00C44970" w:rsidRDefault="001F5AF1" w:rsidP="00E47D8F">
            <w:pPr>
              <w:rPr>
                <w:b/>
                <w:bCs/>
                <w:lang w:val="en-US"/>
              </w:rPr>
            </w:pPr>
            <w:r>
              <w:rPr>
                <w:rFonts w:eastAsia="Times New Roman" w:cs="Times New Roman"/>
                <w:color w:val="000000"/>
                <w:lang w:val="en-GB" w:eastAsia="en-GB" w:bidi="ar-SA"/>
              </w:rPr>
              <w:t>Indicator 1.2.1</w:t>
            </w:r>
            <w:r w:rsidR="00E47D8F" w:rsidRPr="00C44970">
              <w:rPr>
                <w:rFonts w:eastAsia="Times New Roman" w:cs="Times New Roman"/>
                <w:color w:val="000000"/>
                <w:lang w:val="en-GB" w:eastAsia="en-GB" w:bidi="ar-SA"/>
              </w:rPr>
              <w:t>: # of toilets constructed or rehabilitated</w:t>
            </w:r>
            <w:r>
              <w:rPr>
                <w:rFonts w:eastAsia="Times New Roman" w:cs="Times New Roman"/>
                <w:color w:val="000000"/>
                <w:lang w:val="en-GB" w:eastAsia="en-GB" w:bidi="ar-SA"/>
              </w:rPr>
              <w:t xml:space="preserve"> (boys, girls, both)</w:t>
            </w:r>
          </w:p>
        </w:tc>
      </w:tr>
      <w:tr w:rsidR="00E47D8F" w:rsidRPr="00FA56CA" w14:paraId="7CBA79C0" w14:textId="77777777" w:rsidTr="00E47D8F">
        <w:tc>
          <w:tcPr>
            <w:tcW w:w="15304" w:type="dxa"/>
          </w:tcPr>
          <w:p w14:paraId="7C04F1AD" w14:textId="77777777" w:rsidR="001F5AF1" w:rsidRDefault="001F5AF1" w:rsidP="00E47D8F">
            <w:pPr>
              <w:pStyle w:val="Default"/>
              <w:rPr>
                <w:rFonts w:asciiTheme="minorHAnsi" w:hAnsiTheme="minorHAnsi"/>
                <w:b/>
                <w:bCs/>
                <w:sz w:val="22"/>
                <w:szCs w:val="22"/>
                <w:lang w:val="en-US"/>
              </w:rPr>
            </w:pPr>
            <w:r>
              <w:rPr>
                <w:rFonts w:asciiTheme="minorHAnsi" w:hAnsiTheme="minorHAnsi"/>
                <w:b/>
                <w:bCs/>
                <w:sz w:val="22"/>
                <w:szCs w:val="22"/>
                <w:lang w:val="en-US"/>
              </w:rPr>
              <w:t xml:space="preserve">Number of individual toilets/latrines constructed or rehabilitated by programme/project. </w:t>
            </w:r>
          </w:p>
          <w:p w14:paraId="64B86DC3" w14:textId="77777777" w:rsidR="001F5AF1" w:rsidRDefault="001F5AF1" w:rsidP="00E47D8F">
            <w:pPr>
              <w:pStyle w:val="Default"/>
              <w:rPr>
                <w:rFonts w:asciiTheme="minorHAnsi" w:hAnsiTheme="minorHAnsi"/>
                <w:b/>
                <w:bCs/>
                <w:sz w:val="22"/>
                <w:szCs w:val="22"/>
                <w:lang w:val="en-US"/>
              </w:rPr>
            </w:pPr>
          </w:p>
          <w:p w14:paraId="1257ABAF" w14:textId="77777777" w:rsidR="001F5AF1" w:rsidRDefault="00E47D8F" w:rsidP="00E47D8F">
            <w:pPr>
              <w:pStyle w:val="Default"/>
              <w:rPr>
                <w:rFonts w:asciiTheme="minorHAnsi" w:hAnsiTheme="minorHAnsi"/>
                <w:b/>
                <w:bCs/>
                <w:sz w:val="22"/>
                <w:szCs w:val="22"/>
                <w:lang w:val="en-US"/>
              </w:rPr>
            </w:pPr>
            <w:r w:rsidRPr="00C44970">
              <w:rPr>
                <w:rFonts w:asciiTheme="minorHAnsi" w:hAnsiTheme="minorHAnsi"/>
                <w:b/>
                <w:bCs/>
                <w:sz w:val="22"/>
                <w:szCs w:val="22"/>
                <w:lang w:val="en-US"/>
              </w:rPr>
              <w:t xml:space="preserve">Definition: </w:t>
            </w:r>
          </w:p>
          <w:p w14:paraId="486203E2" w14:textId="77777777" w:rsidR="001F5AF1" w:rsidRDefault="001F5AF1" w:rsidP="00E47D8F">
            <w:pPr>
              <w:pStyle w:val="Default"/>
              <w:rPr>
                <w:rFonts w:asciiTheme="minorHAnsi" w:hAnsiTheme="minorHAnsi"/>
                <w:bCs/>
                <w:sz w:val="22"/>
                <w:szCs w:val="22"/>
                <w:lang w:val="en-US"/>
              </w:rPr>
            </w:pPr>
            <w:r>
              <w:rPr>
                <w:rFonts w:asciiTheme="minorHAnsi" w:hAnsiTheme="minorHAnsi"/>
                <w:b/>
                <w:bCs/>
                <w:sz w:val="22"/>
                <w:szCs w:val="22"/>
                <w:lang w:val="en-US"/>
              </w:rPr>
              <w:t xml:space="preserve">Latrines: </w:t>
            </w:r>
            <w:r w:rsidRPr="001F5AF1">
              <w:rPr>
                <w:rFonts w:asciiTheme="minorHAnsi" w:hAnsiTheme="minorHAnsi"/>
                <w:bCs/>
                <w:sz w:val="22"/>
                <w:szCs w:val="22"/>
                <w:lang w:val="en-US"/>
              </w:rPr>
              <w:t>Count</w:t>
            </w:r>
            <w:r>
              <w:rPr>
                <w:rFonts w:asciiTheme="minorHAnsi" w:hAnsiTheme="minorHAnsi"/>
                <w:bCs/>
                <w:sz w:val="22"/>
                <w:szCs w:val="22"/>
                <w:lang w:val="en-US"/>
              </w:rPr>
              <w:t xml:space="preserve"> only</w:t>
            </w:r>
            <w:r>
              <w:rPr>
                <w:rFonts w:asciiTheme="minorHAnsi" w:hAnsiTheme="minorHAnsi"/>
                <w:b/>
                <w:bCs/>
                <w:sz w:val="22"/>
                <w:szCs w:val="22"/>
                <w:lang w:val="en-US"/>
              </w:rPr>
              <w:t xml:space="preserve"> </w:t>
            </w:r>
            <w:r w:rsidR="00E47D8F" w:rsidRPr="00C44970">
              <w:rPr>
                <w:rFonts w:asciiTheme="minorHAnsi" w:hAnsiTheme="minorHAnsi"/>
                <w:bCs/>
                <w:sz w:val="22"/>
                <w:szCs w:val="22"/>
                <w:lang w:val="en-US"/>
              </w:rPr>
              <w:t>individual</w:t>
            </w:r>
            <w:r w:rsidR="00E47D8F" w:rsidRPr="00C44970">
              <w:rPr>
                <w:rFonts w:asciiTheme="minorHAnsi" w:hAnsiTheme="minorHAnsi"/>
                <w:b/>
                <w:bCs/>
                <w:sz w:val="22"/>
                <w:szCs w:val="22"/>
                <w:lang w:val="en-US"/>
              </w:rPr>
              <w:t xml:space="preserve"> </w:t>
            </w:r>
            <w:r>
              <w:rPr>
                <w:rFonts w:asciiTheme="minorHAnsi" w:hAnsiTheme="minorHAnsi"/>
                <w:bCs/>
                <w:sz w:val="22"/>
                <w:szCs w:val="22"/>
                <w:lang w:val="en-US"/>
              </w:rPr>
              <w:t>latrines rather than latrine blocks</w:t>
            </w:r>
            <w:r w:rsidR="00E47D8F" w:rsidRPr="00C44970">
              <w:rPr>
                <w:rFonts w:asciiTheme="minorHAnsi" w:hAnsiTheme="minorHAnsi"/>
                <w:bCs/>
                <w:sz w:val="22"/>
                <w:szCs w:val="22"/>
                <w:lang w:val="en-US"/>
              </w:rPr>
              <w:t xml:space="preserve"> constructed and brought into operation during the reporting year</w:t>
            </w:r>
            <w:r>
              <w:rPr>
                <w:rFonts w:asciiTheme="minorHAnsi" w:hAnsiTheme="minorHAnsi"/>
                <w:bCs/>
                <w:sz w:val="22"/>
                <w:szCs w:val="22"/>
                <w:lang w:val="en-US"/>
              </w:rPr>
              <w:t>.</w:t>
            </w:r>
          </w:p>
          <w:p w14:paraId="733BCE7D" w14:textId="77777777" w:rsidR="00E47D8F" w:rsidRPr="00C44970" w:rsidRDefault="001F5AF1" w:rsidP="00E47D8F">
            <w:pPr>
              <w:pStyle w:val="Default"/>
              <w:rPr>
                <w:rFonts w:asciiTheme="minorHAnsi" w:hAnsiTheme="minorHAnsi"/>
                <w:b/>
                <w:bCs/>
                <w:sz w:val="22"/>
                <w:szCs w:val="22"/>
                <w:lang w:val="en-US"/>
              </w:rPr>
            </w:pPr>
            <w:r w:rsidRPr="001F5AF1">
              <w:rPr>
                <w:rFonts w:asciiTheme="minorHAnsi" w:hAnsiTheme="minorHAnsi"/>
                <w:b/>
                <w:bCs/>
                <w:sz w:val="22"/>
                <w:szCs w:val="22"/>
                <w:lang w:val="en-US"/>
              </w:rPr>
              <w:t>R</w:t>
            </w:r>
            <w:r w:rsidR="00E47D8F" w:rsidRPr="001F5AF1">
              <w:rPr>
                <w:rFonts w:asciiTheme="minorHAnsi" w:hAnsiTheme="minorHAnsi"/>
                <w:b/>
                <w:bCs/>
                <w:sz w:val="22"/>
                <w:szCs w:val="22"/>
                <w:lang w:val="en-US"/>
              </w:rPr>
              <w:t>ehabilitated</w:t>
            </w:r>
            <w:r w:rsidRPr="001F5AF1">
              <w:rPr>
                <w:rFonts w:asciiTheme="minorHAnsi" w:hAnsiTheme="minorHAnsi"/>
                <w:b/>
                <w:bCs/>
                <w:sz w:val="22"/>
                <w:szCs w:val="22"/>
                <w:lang w:val="en-US"/>
              </w:rPr>
              <w:t>:</w:t>
            </w:r>
            <w:r>
              <w:rPr>
                <w:rFonts w:asciiTheme="minorHAnsi" w:hAnsiTheme="minorHAnsi"/>
                <w:bCs/>
                <w:sz w:val="22"/>
                <w:szCs w:val="22"/>
                <w:lang w:val="en-US"/>
              </w:rPr>
              <w:t xml:space="preserve"> C</w:t>
            </w:r>
            <w:r w:rsidR="00E47D8F" w:rsidRPr="00C44970">
              <w:rPr>
                <w:rFonts w:asciiTheme="minorHAnsi" w:hAnsiTheme="minorHAnsi"/>
                <w:bCs/>
                <w:sz w:val="22"/>
                <w:szCs w:val="22"/>
                <w:lang w:val="en-US"/>
              </w:rPr>
              <w:t>ount only latrines that were previously in an unusable condition (e.g. unsafe/ full pit/ no door etc</w:t>
            </w:r>
            <w:r>
              <w:rPr>
                <w:rFonts w:asciiTheme="minorHAnsi" w:hAnsiTheme="minorHAnsi"/>
                <w:bCs/>
                <w:sz w:val="22"/>
                <w:szCs w:val="22"/>
                <w:lang w:val="en-US"/>
              </w:rPr>
              <w:t>.</w:t>
            </w:r>
            <w:r w:rsidR="00E47D8F" w:rsidRPr="00C44970">
              <w:rPr>
                <w:rFonts w:asciiTheme="minorHAnsi" w:hAnsiTheme="minorHAnsi"/>
                <w:bCs/>
                <w:sz w:val="22"/>
                <w:szCs w:val="22"/>
                <w:lang w:val="en-US"/>
              </w:rPr>
              <w:t>)</w:t>
            </w:r>
          </w:p>
          <w:p w14:paraId="586D85FF" w14:textId="77777777" w:rsidR="00E47D8F" w:rsidRPr="00C44970" w:rsidRDefault="00E47D8F" w:rsidP="00E47D8F">
            <w:pPr>
              <w:rPr>
                <w:b/>
                <w:bCs/>
                <w:highlight w:val="lightGray"/>
                <w:lang w:val="en-US"/>
              </w:rPr>
            </w:pPr>
          </w:p>
        </w:tc>
      </w:tr>
      <w:tr w:rsidR="00E47D8F" w:rsidRPr="00FA56CA" w14:paraId="0B462C64" w14:textId="77777777" w:rsidTr="00E47D8F">
        <w:tc>
          <w:tcPr>
            <w:tcW w:w="15304" w:type="dxa"/>
          </w:tcPr>
          <w:p w14:paraId="18DDAD18" w14:textId="77777777" w:rsidR="00E47D8F" w:rsidRPr="00C44970" w:rsidRDefault="00E47D8F" w:rsidP="001F5AF1">
            <w:pPr>
              <w:pStyle w:val="Default"/>
              <w:rPr>
                <w:rFonts w:asciiTheme="minorHAnsi" w:hAnsiTheme="minorHAnsi"/>
                <w:sz w:val="22"/>
                <w:szCs w:val="22"/>
                <w:lang w:val="en-US"/>
              </w:rPr>
            </w:pPr>
            <w:r w:rsidRPr="00C44970">
              <w:rPr>
                <w:rFonts w:asciiTheme="minorHAnsi" w:hAnsiTheme="minorHAnsi"/>
                <w:b/>
                <w:bCs/>
                <w:sz w:val="22"/>
                <w:szCs w:val="22"/>
                <w:lang w:val="en-US"/>
              </w:rPr>
              <w:t xml:space="preserve">Methodology: </w:t>
            </w:r>
            <w:r w:rsidR="001F5AF1" w:rsidRPr="001F5AF1">
              <w:rPr>
                <w:rFonts w:asciiTheme="minorHAnsi" w:hAnsiTheme="minorHAnsi"/>
                <w:bCs/>
                <w:sz w:val="22"/>
                <w:szCs w:val="22"/>
                <w:lang w:val="en-US"/>
              </w:rPr>
              <w:t>Provide sex segregation where applicable. Report the number of latrines completed for the corresponding year of reporting</w:t>
            </w:r>
            <w:r w:rsidR="001F5AF1">
              <w:rPr>
                <w:rFonts w:asciiTheme="minorHAnsi" w:hAnsiTheme="minorHAnsi"/>
                <w:b/>
                <w:bCs/>
                <w:sz w:val="22"/>
                <w:szCs w:val="22"/>
                <w:lang w:val="en-US"/>
              </w:rPr>
              <w:t xml:space="preserve">. </w:t>
            </w:r>
          </w:p>
        </w:tc>
      </w:tr>
      <w:tr w:rsidR="001F5AF1" w:rsidRPr="00FA56CA" w14:paraId="0E1360A4" w14:textId="77777777" w:rsidTr="00E47D8F">
        <w:tc>
          <w:tcPr>
            <w:tcW w:w="15304" w:type="dxa"/>
          </w:tcPr>
          <w:p w14:paraId="1E21B46C" w14:textId="77777777" w:rsidR="001F5AF1" w:rsidRPr="00C44970" w:rsidRDefault="001F5AF1" w:rsidP="001F5AF1">
            <w:pPr>
              <w:pStyle w:val="Default"/>
              <w:rPr>
                <w:rFonts w:asciiTheme="minorHAnsi" w:hAnsiTheme="minorHAnsi"/>
                <w:b/>
                <w:bCs/>
                <w:sz w:val="22"/>
                <w:szCs w:val="22"/>
                <w:lang w:val="en-US"/>
              </w:rPr>
            </w:pPr>
            <w:r>
              <w:rPr>
                <w:rFonts w:asciiTheme="minorHAnsi" w:hAnsiTheme="minorHAnsi"/>
                <w:b/>
                <w:bCs/>
                <w:sz w:val="22"/>
                <w:szCs w:val="22"/>
                <w:lang w:val="en-US"/>
              </w:rPr>
              <w:t xml:space="preserve">Type of indicator: </w:t>
            </w:r>
            <w:r>
              <w:rPr>
                <w:rFonts w:asciiTheme="minorHAnsi" w:hAnsiTheme="minorHAnsi"/>
                <w:bCs/>
                <w:sz w:val="22"/>
                <w:szCs w:val="22"/>
                <w:lang w:val="en-US"/>
              </w:rPr>
              <w:t xml:space="preserve">Output, </w:t>
            </w:r>
            <w:r w:rsidRPr="00752B57">
              <w:rPr>
                <w:rFonts w:asciiTheme="minorHAnsi" w:hAnsiTheme="minorHAnsi"/>
                <w:bCs/>
                <w:sz w:val="22"/>
                <w:szCs w:val="22"/>
                <w:lang w:val="en-US"/>
              </w:rPr>
              <w:t>cumulative</w:t>
            </w:r>
          </w:p>
        </w:tc>
      </w:tr>
      <w:tr w:rsidR="00E47D8F" w:rsidRPr="00FA56CA" w14:paraId="79208DF0" w14:textId="77777777" w:rsidTr="00E47D8F">
        <w:tc>
          <w:tcPr>
            <w:tcW w:w="15304" w:type="dxa"/>
            <w:shd w:val="clear" w:color="auto" w:fill="E2EFD9" w:themeFill="accent6" w:themeFillTint="33"/>
          </w:tcPr>
          <w:p w14:paraId="186F190C" w14:textId="37C29912" w:rsidR="00E47D8F" w:rsidRPr="00C44970" w:rsidRDefault="00394C53" w:rsidP="00462AEE">
            <w:pPr>
              <w:rPr>
                <w:b/>
                <w:bCs/>
                <w:lang w:val="en-US"/>
              </w:rPr>
            </w:pPr>
            <w:r>
              <w:rPr>
                <w:rFonts w:eastAsia="Times New Roman" w:cs="Times New Roman"/>
                <w:color w:val="000000"/>
                <w:lang w:val="en-GB" w:eastAsia="en-GB" w:bidi="ar-SA"/>
              </w:rPr>
              <w:t xml:space="preserve">Indicator </w:t>
            </w:r>
            <w:r w:rsidR="00E47D8F" w:rsidRPr="00C44970">
              <w:rPr>
                <w:rFonts w:eastAsia="Times New Roman" w:cs="Times New Roman"/>
                <w:color w:val="000000"/>
                <w:lang w:val="en-GB" w:eastAsia="en-GB" w:bidi="ar-SA"/>
              </w:rPr>
              <w:t>1.2.</w:t>
            </w:r>
            <w:r>
              <w:rPr>
                <w:rFonts w:eastAsia="Times New Roman" w:cs="Times New Roman"/>
                <w:color w:val="000000"/>
                <w:lang w:val="en-GB" w:eastAsia="en-GB" w:bidi="ar-SA"/>
              </w:rPr>
              <w:t>2</w:t>
            </w:r>
            <w:r w:rsidR="00E47D8F" w:rsidRPr="00C44970">
              <w:rPr>
                <w:rFonts w:eastAsia="Times New Roman" w:cs="Times New Roman"/>
                <w:color w:val="000000"/>
                <w:lang w:val="en-GB" w:eastAsia="en-GB" w:bidi="ar-SA"/>
              </w:rPr>
              <w:t xml:space="preserve">: </w:t>
            </w:r>
            <w:r>
              <w:rPr>
                <w:rFonts w:eastAsia="Times New Roman" w:cs="Times New Roman"/>
                <w:color w:val="000000"/>
                <w:lang w:val="en-GB" w:eastAsia="en-GB" w:bidi="ar-SA"/>
              </w:rPr>
              <w:t>% and #</w:t>
            </w:r>
            <w:r w:rsidR="00E47D8F" w:rsidRPr="00C44970">
              <w:rPr>
                <w:rFonts w:eastAsia="Times New Roman" w:cs="Times New Roman"/>
                <w:color w:val="000000"/>
                <w:lang w:val="en-GB" w:eastAsia="en-GB" w:bidi="ar-SA"/>
              </w:rPr>
              <w:t xml:space="preserve"> of </w:t>
            </w:r>
            <w:r w:rsidR="00462AEE">
              <w:rPr>
                <w:rFonts w:eastAsia="Times New Roman" w:cs="Times New Roman"/>
                <w:color w:val="000000"/>
                <w:lang w:val="en-GB" w:eastAsia="en-GB" w:bidi="ar-SA"/>
              </w:rPr>
              <w:t>target</w:t>
            </w:r>
            <w:r w:rsidR="00E47D8F" w:rsidRPr="00C44970">
              <w:rPr>
                <w:rFonts w:eastAsia="Times New Roman" w:cs="Times New Roman"/>
                <w:color w:val="000000"/>
                <w:lang w:val="en-GB" w:eastAsia="en-GB" w:bidi="ar-SA"/>
              </w:rPr>
              <w:t xml:space="preserve"> educational institutions with feeding programmes</w:t>
            </w:r>
          </w:p>
        </w:tc>
      </w:tr>
      <w:tr w:rsidR="00E47D8F" w:rsidRPr="00394C53" w14:paraId="5D65E606" w14:textId="77777777" w:rsidTr="00E47D8F">
        <w:tc>
          <w:tcPr>
            <w:tcW w:w="15304" w:type="dxa"/>
          </w:tcPr>
          <w:p w14:paraId="15D790BC" w14:textId="58B23556" w:rsidR="00B33ECB" w:rsidRPr="00462AEE" w:rsidRDefault="00462AEE" w:rsidP="00E47D8F">
            <w:pPr>
              <w:pStyle w:val="Default"/>
              <w:rPr>
                <w:rFonts w:asciiTheme="minorHAnsi" w:hAnsiTheme="minorHAnsi"/>
                <w:b/>
                <w:bCs/>
                <w:sz w:val="22"/>
                <w:szCs w:val="22"/>
                <w:lang w:val="en-US"/>
              </w:rPr>
            </w:pPr>
            <w:r w:rsidRPr="00462AEE">
              <w:rPr>
                <w:rFonts w:asciiTheme="minorHAnsi" w:hAnsiTheme="minorHAnsi"/>
                <w:b/>
                <w:bCs/>
                <w:sz w:val="22"/>
                <w:szCs w:val="22"/>
                <w:lang w:val="en-US"/>
              </w:rPr>
              <w:t xml:space="preserve">Number </w:t>
            </w:r>
            <w:r w:rsidR="00E47D8F" w:rsidRPr="00462AEE">
              <w:rPr>
                <w:rFonts w:asciiTheme="minorHAnsi" w:hAnsiTheme="minorHAnsi"/>
                <w:b/>
                <w:bCs/>
                <w:sz w:val="22"/>
                <w:szCs w:val="22"/>
                <w:lang w:val="en-US"/>
              </w:rPr>
              <w:t xml:space="preserve">of supported educational institutions where students are provided with at least one meal per day free of charge. </w:t>
            </w:r>
          </w:p>
          <w:p w14:paraId="7EA47351" w14:textId="77777777" w:rsidR="00B33ECB" w:rsidRDefault="00B33ECB" w:rsidP="00E47D8F">
            <w:pPr>
              <w:pStyle w:val="Default"/>
              <w:rPr>
                <w:rFonts w:asciiTheme="minorHAnsi" w:hAnsiTheme="minorHAnsi"/>
                <w:bCs/>
                <w:sz w:val="22"/>
                <w:szCs w:val="22"/>
                <w:lang w:val="en-US"/>
              </w:rPr>
            </w:pPr>
          </w:p>
          <w:p w14:paraId="5A44702B" w14:textId="5B058AA3" w:rsidR="00B33ECB" w:rsidRPr="00B33ECB" w:rsidRDefault="00B33ECB" w:rsidP="00E47D8F">
            <w:pPr>
              <w:pStyle w:val="Default"/>
              <w:rPr>
                <w:rFonts w:asciiTheme="minorHAnsi" w:hAnsiTheme="minorHAnsi"/>
                <w:b/>
                <w:bCs/>
                <w:sz w:val="22"/>
                <w:szCs w:val="22"/>
                <w:lang w:val="en-US"/>
              </w:rPr>
            </w:pPr>
            <w:r w:rsidRPr="00B33ECB">
              <w:rPr>
                <w:rFonts w:asciiTheme="minorHAnsi" w:hAnsiTheme="minorHAnsi"/>
                <w:b/>
                <w:bCs/>
                <w:sz w:val="22"/>
                <w:szCs w:val="22"/>
                <w:lang w:val="en-US"/>
              </w:rPr>
              <w:t xml:space="preserve">Definition: </w:t>
            </w:r>
          </w:p>
          <w:p w14:paraId="70F2334F" w14:textId="1EC3D80F" w:rsidR="00E47D8F" w:rsidRPr="00C44970" w:rsidRDefault="00E47D8F" w:rsidP="00E47D8F">
            <w:pPr>
              <w:pStyle w:val="Default"/>
              <w:rPr>
                <w:rFonts w:asciiTheme="minorHAnsi" w:hAnsiTheme="minorHAnsi"/>
                <w:b/>
                <w:bCs/>
                <w:sz w:val="22"/>
                <w:szCs w:val="22"/>
                <w:lang w:val="en-US"/>
              </w:rPr>
            </w:pPr>
            <w:r w:rsidRPr="00C44970">
              <w:rPr>
                <w:rFonts w:asciiTheme="minorHAnsi" w:hAnsiTheme="minorHAnsi"/>
                <w:bCs/>
                <w:sz w:val="22"/>
                <w:szCs w:val="22"/>
                <w:lang w:val="en-US"/>
              </w:rPr>
              <w:t xml:space="preserve">This can include meals supplied/ funded by other sources (e.g. Government programmes, World Food Programme), but should only be reported for cases where </w:t>
            </w:r>
            <w:r w:rsidR="00394C53">
              <w:rPr>
                <w:rFonts w:asciiTheme="minorHAnsi" w:hAnsiTheme="minorHAnsi"/>
                <w:bCs/>
                <w:sz w:val="22"/>
                <w:szCs w:val="22"/>
                <w:lang w:val="en-US"/>
              </w:rPr>
              <w:t xml:space="preserve">programme/project funding </w:t>
            </w:r>
            <w:r w:rsidRPr="00C44970">
              <w:rPr>
                <w:rFonts w:asciiTheme="minorHAnsi" w:hAnsiTheme="minorHAnsi"/>
                <w:bCs/>
                <w:sz w:val="22"/>
                <w:szCs w:val="22"/>
                <w:lang w:val="en-US"/>
              </w:rPr>
              <w:t>has played a facilitating role in the supply of school meals.</w:t>
            </w:r>
          </w:p>
          <w:p w14:paraId="6D05CD41" w14:textId="77777777" w:rsidR="00B33ECB" w:rsidRDefault="00B33ECB" w:rsidP="00E47D8F">
            <w:pPr>
              <w:rPr>
                <w:b/>
                <w:bCs/>
                <w:lang w:val="en-US"/>
              </w:rPr>
            </w:pPr>
          </w:p>
          <w:p w14:paraId="16A7591C" w14:textId="50E1444B" w:rsidR="00394C53" w:rsidRPr="00394C53" w:rsidRDefault="00394C53" w:rsidP="00E47D8F">
            <w:pPr>
              <w:rPr>
                <w:bCs/>
                <w:lang w:val="en-US"/>
              </w:rPr>
            </w:pPr>
            <w:r>
              <w:rPr>
                <w:b/>
                <w:bCs/>
                <w:lang w:val="en-US"/>
              </w:rPr>
              <w:t xml:space="preserve">Nominator: </w:t>
            </w:r>
            <w:r w:rsidRPr="00394C53">
              <w:rPr>
                <w:bCs/>
                <w:lang w:val="en-US"/>
              </w:rPr>
              <w:t># of educational institutions where students receive one meal per day free of charge.</w:t>
            </w:r>
          </w:p>
          <w:p w14:paraId="2D1240F1" w14:textId="77777777" w:rsidR="00E47D8F" w:rsidRDefault="00E47D8F" w:rsidP="00394C53">
            <w:pPr>
              <w:rPr>
                <w:bCs/>
                <w:lang w:val="en-US"/>
              </w:rPr>
            </w:pPr>
            <w:r w:rsidRPr="00C44970">
              <w:rPr>
                <w:b/>
                <w:bCs/>
                <w:lang w:val="en-US"/>
              </w:rPr>
              <w:t xml:space="preserve">Denominator: </w:t>
            </w:r>
            <w:r w:rsidR="00394C53">
              <w:rPr>
                <w:bCs/>
                <w:lang w:val="en-US"/>
              </w:rPr>
              <w:t>Total # of educational institutions targeted under programme/project</w:t>
            </w:r>
          </w:p>
          <w:p w14:paraId="3052391D" w14:textId="77777777" w:rsidR="00394C53" w:rsidRPr="00C44970" w:rsidRDefault="00394C53" w:rsidP="00394C53">
            <w:pPr>
              <w:rPr>
                <w:b/>
                <w:bCs/>
                <w:highlight w:val="lightGray"/>
                <w:lang w:val="en-US"/>
              </w:rPr>
            </w:pPr>
          </w:p>
        </w:tc>
      </w:tr>
      <w:tr w:rsidR="00E47D8F" w:rsidRPr="00C44970" w14:paraId="2655A538" w14:textId="77777777" w:rsidTr="00E47D8F">
        <w:tc>
          <w:tcPr>
            <w:tcW w:w="15304" w:type="dxa"/>
          </w:tcPr>
          <w:p w14:paraId="293661E0" w14:textId="77777777" w:rsidR="00E47D8F" w:rsidRPr="009176D1" w:rsidRDefault="00E47D8F" w:rsidP="00E47D8F">
            <w:pPr>
              <w:pStyle w:val="Default"/>
              <w:rPr>
                <w:rFonts w:asciiTheme="minorHAnsi" w:hAnsiTheme="minorHAnsi"/>
                <w:bCs/>
                <w:sz w:val="22"/>
                <w:szCs w:val="22"/>
                <w:lang w:val="en-US"/>
              </w:rPr>
            </w:pPr>
            <w:r w:rsidRPr="00C44970">
              <w:rPr>
                <w:rFonts w:asciiTheme="minorHAnsi" w:hAnsiTheme="minorHAnsi"/>
                <w:b/>
                <w:bCs/>
                <w:sz w:val="22"/>
                <w:szCs w:val="22"/>
                <w:lang w:val="en-US"/>
              </w:rPr>
              <w:t>Methodology:</w:t>
            </w:r>
            <w:r w:rsidRPr="00C44970">
              <w:rPr>
                <w:rFonts w:asciiTheme="minorHAnsi" w:hAnsiTheme="minorHAnsi"/>
                <w:bCs/>
                <w:sz w:val="22"/>
                <w:szCs w:val="22"/>
                <w:lang w:val="en-US"/>
              </w:rPr>
              <w:t xml:space="preserve"> From project records. Reported on the number of schools with feeding programmes in operation during the reporting year. Cannot be accumulated year on year.</w:t>
            </w:r>
          </w:p>
        </w:tc>
      </w:tr>
      <w:tr w:rsidR="00394C53" w:rsidRPr="00394C53" w14:paraId="054EAF6F" w14:textId="77777777" w:rsidTr="00E47D8F">
        <w:tc>
          <w:tcPr>
            <w:tcW w:w="15304" w:type="dxa"/>
          </w:tcPr>
          <w:p w14:paraId="3EB01CD3" w14:textId="77777777" w:rsidR="00394C53" w:rsidRPr="00C44970" w:rsidRDefault="00394C53" w:rsidP="00E47D8F">
            <w:pPr>
              <w:pStyle w:val="Default"/>
              <w:rPr>
                <w:rFonts w:asciiTheme="minorHAnsi" w:hAnsiTheme="minorHAnsi"/>
                <w:b/>
                <w:bCs/>
                <w:sz w:val="22"/>
                <w:szCs w:val="22"/>
                <w:lang w:val="en-US"/>
              </w:rPr>
            </w:pPr>
            <w:r>
              <w:rPr>
                <w:rFonts w:asciiTheme="minorHAnsi" w:hAnsiTheme="minorHAnsi"/>
                <w:b/>
                <w:bCs/>
                <w:sz w:val="22"/>
                <w:szCs w:val="22"/>
                <w:lang w:val="en-US"/>
              </w:rPr>
              <w:t xml:space="preserve">Type of indicator: </w:t>
            </w:r>
            <w:r>
              <w:rPr>
                <w:rFonts w:asciiTheme="minorHAnsi" w:hAnsiTheme="minorHAnsi"/>
                <w:bCs/>
                <w:sz w:val="22"/>
                <w:szCs w:val="22"/>
                <w:lang w:val="en-US"/>
              </w:rPr>
              <w:t xml:space="preserve">Output, not </w:t>
            </w:r>
            <w:r w:rsidRPr="00752B57">
              <w:rPr>
                <w:rFonts w:asciiTheme="minorHAnsi" w:hAnsiTheme="minorHAnsi"/>
                <w:bCs/>
                <w:sz w:val="22"/>
                <w:szCs w:val="22"/>
                <w:lang w:val="en-US"/>
              </w:rPr>
              <w:t>cumulative</w:t>
            </w:r>
          </w:p>
        </w:tc>
      </w:tr>
      <w:tr w:rsidR="00E47D8F" w:rsidRPr="00FA56CA" w14:paraId="242F1DD8" w14:textId="77777777" w:rsidTr="00E47D8F">
        <w:tc>
          <w:tcPr>
            <w:tcW w:w="15304" w:type="dxa"/>
            <w:shd w:val="clear" w:color="auto" w:fill="E2EFD9" w:themeFill="accent6" w:themeFillTint="33"/>
          </w:tcPr>
          <w:p w14:paraId="36ACF491" w14:textId="20FEC626" w:rsidR="00E47D8F" w:rsidRPr="00C44970" w:rsidRDefault="00394C53" w:rsidP="00E47D8F">
            <w:pPr>
              <w:rPr>
                <w:b/>
                <w:bCs/>
                <w:lang w:val="en-US"/>
              </w:rPr>
            </w:pPr>
            <w:r>
              <w:rPr>
                <w:rFonts w:eastAsia="Times New Roman" w:cs="Times New Roman"/>
                <w:color w:val="000000"/>
                <w:lang w:val="en-GB" w:eastAsia="en-GB" w:bidi="ar-SA"/>
              </w:rPr>
              <w:t>Indicator 1.2.3</w:t>
            </w:r>
            <w:r w:rsidR="00E47D8F" w:rsidRPr="00C44970">
              <w:rPr>
                <w:rFonts w:eastAsia="Times New Roman" w:cs="Times New Roman"/>
                <w:color w:val="000000"/>
                <w:lang w:val="en-GB" w:eastAsia="en-GB" w:bidi="ar-SA"/>
              </w:rPr>
              <w:t xml:space="preserve">: # of </w:t>
            </w:r>
            <w:r w:rsidR="00462AEE">
              <w:rPr>
                <w:rFonts w:eastAsia="Times New Roman" w:cs="Times New Roman"/>
                <w:color w:val="000000"/>
                <w:lang w:val="en-GB" w:eastAsia="en-GB" w:bidi="ar-SA"/>
              </w:rPr>
              <w:t xml:space="preserve">target </w:t>
            </w:r>
            <w:r w:rsidR="00E47D8F" w:rsidRPr="00C44970">
              <w:rPr>
                <w:rFonts w:eastAsia="Times New Roman" w:cs="Times New Roman"/>
                <w:color w:val="000000"/>
                <w:lang w:val="en-GB" w:eastAsia="en-GB" w:bidi="ar-SA"/>
              </w:rPr>
              <w:t>educational institutions with new/improved access to clean and safe drinking water</w:t>
            </w:r>
          </w:p>
        </w:tc>
      </w:tr>
      <w:tr w:rsidR="00E47D8F" w:rsidRPr="00FA56CA" w14:paraId="00321F71" w14:textId="77777777" w:rsidTr="00E47D8F">
        <w:tc>
          <w:tcPr>
            <w:tcW w:w="15304" w:type="dxa"/>
          </w:tcPr>
          <w:p w14:paraId="7ED92036" w14:textId="2651A04E" w:rsidR="006C0DA5" w:rsidRPr="00EA0B41" w:rsidRDefault="006C0DA5" w:rsidP="00E47D8F">
            <w:pPr>
              <w:pStyle w:val="Default"/>
              <w:rPr>
                <w:rFonts w:asciiTheme="minorHAnsi" w:hAnsiTheme="minorHAnsi"/>
                <w:b/>
                <w:bCs/>
                <w:sz w:val="22"/>
                <w:szCs w:val="22"/>
                <w:lang w:val="en-US"/>
              </w:rPr>
            </w:pPr>
            <w:r w:rsidRPr="00EA0B41">
              <w:rPr>
                <w:rFonts w:asciiTheme="minorHAnsi" w:hAnsiTheme="minorHAnsi"/>
                <w:b/>
                <w:bCs/>
                <w:sz w:val="22"/>
                <w:szCs w:val="22"/>
                <w:lang w:val="en-US"/>
              </w:rPr>
              <w:t>Number</w:t>
            </w:r>
            <w:r w:rsidR="00E47D8F" w:rsidRPr="00EA0B41">
              <w:rPr>
                <w:rFonts w:asciiTheme="minorHAnsi" w:hAnsiTheme="minorHAnsi"/>
                <w:b/>
                <w:bCs/>
                <w:sz w:val="22"/>
                <w:szCs w:val="22"/>
                <w:lang w:val="en-US"/>
              </w:rPr>
              <w:t xml:space="preserve"> of supported educational institutions wh</w:t>
            </w:r>
            <w:r w:rsidRPr="00EA0B41">
              <w:rPr>
                <w:rFonts w:asciiTheme="minorHAnsi" w:hAnsiTheme="minorHAnsi"/>
                <w:b/>
                <w:bCs/>
                <w:sz w:val="22"/>
                <w:szCs w:val="22"/>
                <w:lang w:val="en-US"/>
              </w:rPr>
              <w:t xml:space="preserve">ich previously did not have or have enough clean drinking water that now have sufficient AND clean drinking water to students in the school. </w:t>
            </w:r>
          </w:p>
          <w:p w14:paraId="618B7E64" w14:textId="77777777" w:rsidR="006C0DA5" w:rsidRDefault="006C0DA5" w:rsidP="00E47D8F">
            <w:pPr>
              <w:pStyle w:val="Default"/>
              <w:rPr>
                <w:rFonts w:asciiTheme="minorHAnsi" w:hAnsiTheme="minorHAnsi"/>
                <w:bCs/>
                <w:sz w:val="22"/>
                <w:szCs w:val="22"/>
                <w:lang w:val="en-US"/>
              </w:rPr>
            </w:pPr>
          </w:p>
          <w:p w14:paraId="0A61730D" w14:textId="77777777" w:rsidR="00E47D8F" w:rsidRDefault="006C0DA5" w:rsidP="00E47D8F">
            <w:pPr>
              <w:pStyle w:val="Default"/>
              <w:rPr>
                <w:rFonts w:asciiTheme="minorHAnsi" w:hAnsiTheme="minorHAnsi"/>
                <w:b/>
                <w:bCs/>
                <w:sz w:val="22"/>
                <w:szCs w:val="22"/>
                <w:highlight w:val="lightGray"/>
                <w:lang w:val="en-US"/>
              </w:rPr>
            </w:pPr>
            <w:r w:rsidRPr="00C44970">
              <w:rPr>
                <w:rFonts w:asciiTheme="minorHAnsi" w:hAnsiTheme="minorHAnsi"/>
                <w:b/>
                <w:bCs/>
                <w:sz w:val="22"/>
                <w:szCs w:val="22"/>
                <w:lang w:val="en-US"/>
              </w:rPr>
              <w:t>Definition:</w:t>
            </w:r>
            <w:r w:rsidRPr="00C44970">
              <w:rPr>
                <w:rFonts w:asciiTheme="minorHAnsi" w:hAnsiTheme="minorHAnsi"/>
                <w:bCs/>
                <w:sz w:val="22"/>
                <w:szCs w:val="22"/>
                <w:lang w:val="en-US"/>
              </w:rPr>
              <w:t xml:space="preserve"> </w:t>
            </w:r>
          </w:p>
          <w:p w14:paraId="513311C4" w14:textId="77777777" w:rsidR="006C0DA5" w:rsidRPr="00625F5F" w:rsidRDefault="006C0DA5" w:rsidP="00E47D8F">
            <w:pPr>
              <w:pStyle w:val="Default"/>
              <w:rPr>
                <w:rFonts w:asciiTheme="minorHAnsi" w:hAnsiTheme="minorHAnsi"/>
                <w:bCs/>
                <w:sz w:val="22"/>
                <w:szCs w:val="22"/>
                <w:lang w:val="en-US"/>
              </w:rPr>
            </w:pPr>
            <w:r>
              <w:rPr>
                <w:rFonts w:asciiTheme="minorHAnsi" w:hAnsiTheme="minorHAnsi"/>
                <w:b/>
                <w:bCs/>
                <w:sz w:val="22"/>
                <w:szCs w:val="22"/>
                <w:lang w:val="en-US"/>
              </w:rPr>
              <w:t>Clean</w:t>
            </w:r>
            <w:r w:rsidRPr="006C0DA5">
              <w:rPr>
                <w:rFonts w:asciiTheme="minorHAnsi" w:hAnsiTheme="minorHAnsi"/>
                <w:b/>
                <w:bCs/>
                <w:sz w:val="22"/>
                <w:szCs w:val="22"/>
                <w:lang w:val="en-US"/>
              </w:rPr>
              <w:t>:</w:t>
            </w:r>
            <w:r>
              <w:rPr>
                <w:rFonts w:asciiTheme="minorHAnsi" w:hAnsiTheme="minorHAnsi"/>
                <w:b/>
                <w:bCs/>
                <w:sz w:val="22"/>
                <w:szCs w:val="22"/>
                <w:lang w:val="en-US"/>
              </w:rPr>
              <w:t xml:space="preserve"> </w:t>
            </w:r>
            <w:r w:rsidRPr="00625F5F">
              <w:rPr>
                <w:rFonts w:asciiTheme="minorHAnsi" w:hAnsiTheme="minorHAnsi"/>
                <w:bCs/>
                <w:sz w:val="22"/>
                <w:szCs w:val="22"/>
                <w:lang w:val="en-US"/>
              </w:rPr>
              <w:t xml:space="preserve">Should fulfill local standards for what constitutes safe and clean drinking water. </w:t>
            </w:r>
          </w:p>
          <w:p w14:paraId="3E989FAA" w14:textId="5A045CC8" w:rsidR="006C0DA5" w:rsidRPr="00C44970" w:rsidRDefault="006C0DA5" w:rsidP="00625F5F">
            <w:pPr>
              <w:pStyle w:val="Default"/>
              <w:rPr>
                <w:rFonts w:asciiTheme="minorHAnsi" w:hAnsiTheme="minorHAnsi"/>
                <w:b/>
                <w:bCs/>
                <w:sz w:val="22"/>
                <w:szCs w:val="22"/>
                <w:highlight w:val="lightGray"/>
                <w:lang w:val="en-US"/>
              </w:rPr>
            </w:pPr>
            <w:r>
              <w:rPr>
                <w:rFonts w:asciiTheme="minorHAnsi" w:hAnsiTheme="minorHAnsi"/>
                <w:b/>
                <w:bCs/>
                <w:sz w:val="22"/>
                <w:szCs w:val="22"/>
                <w:lang w:val="en-US"/>
              </w:rPr>
              <w:t xml:space="preserve">Sufficient: </w:t>
            </w:r>
            <w:r w:rsidR="00625F5F" w:rsidRPr="00625F5F">
              <w:rPr>
                <w:rFonts w:asciiTheme="minorHAnsi" w:hAnsiTheme="minorHAnsi"/>
                <w:bCs/>
                <w:sz w:val="22"/>
                <w:szCs w:val="22"/>
                <w:lang w:val="en-US"/>
              </w:rPr>
              <w:t>Should fulfill local standards for what constitutes sufficient drinking water for a child</w:t>
            </w:r>
            <w:r w:rsidR="00625F5F">
              <w:rPr>
                <w:rFonts w:asciiTheme="minorHAnsi" w:hAnsiTheme="minorHAnsi"/>
                <w:bCs/>
                <w:sz w:val="22"/>
                <w:szCs w:val="22"/>
                <w:lang w:val="en-US"/>
              </w:rPr>
              <w:t xml:space="preserve"> per day</w:t>
            </w:r>
            <w:r w:rsidR="00625F5F" w:rsidRPr="00625F5F">
              <w:rPr>
                <w:rFonts w:asciiTheme="minorHAnsi" w:hAnsiTheme="minorHAnsi"/>
                <w:bCs/>
                <w:sz w:val="22"/>
                <w:szCs w:val="22"/>
                <w:lang w:val="en-US"/>
              </w:rPr>
              <w:t xml:space="preserve"> (as this will vary from context to context due to climate for example). </w:t>
            </w:r>
            <w:r w:rsidRPr="006C0DA5">
              <w:rPr>
                <w:rFonts w:asciiTheme="minorHAnsi" w:hAnsiTheme="minorHAnsi"/>
                <w:b/>
                <w:bCs/>
                <w:sz w:val="22"/>
                <w:szCs w:val="22"/>
                <w:lang w:val="en-US"/>
              </w:rPr>
              <w:t xml:space="preserve"> </w:t>
            </w:r>
          </w:p>
        </w:tc>
      </w:tr>
      <w:tr w:rsidR="00E47D8F" w:rsidRPr="00FA56CA" w14:paraId="4A173AE7" w14:textId="77777777" w:rsidTr="00E47D8F">
        <w:tc>
          <w:tcPr>
            <w:tcW w:w="15304" w:type="dxa"/>
          </w:tcPr>
          <w:p w14:paraId="1DECEDFF" w14:textId="0CF5F80F" w:rsidR="00E47D8F" w:rsidRPr="00C44970" w:rsidRDefault="00E47D8F" w:rsidP="00E47D8F">
            <w:pPr>
              <w:pStyle w:val="Default"/>
              <w:rPr>
                <w:rFonts w:asciiTheme="minorHAnsi" w:hAnsiTheme="minorHAnsi"/>
                <w:bCs/>
                <w:sz w:val="22"/>
                <w:szCs w:val="22"/>
                <w:lang w:val="en-US"/>
              </w:rPr>
            </w:pPr>
            <w:r w:rsidRPr="00C44970">
              <w:rPr>
                <w:rFonts w:asciiTheme="minorHAnsi" w:hAnsiTheme="minorHAnsi"/>
                <w:b/>
                <w:bCs/>
                <w:sz w:val="22"/>
                <w:szCs w:val="22"/>
                <w:lang w:val="en-US"/>
              </w:rPr>
              <w:t xml:space="preserve">Methodology: </w:t>
            </w:r>
            <w:r w:rsidR="00625F5F">
              <w:rPr>
                <w:rFonts w:asciiTheme="minorHAnsi" w:hAnsiTheme="minorHAnsi"/>
                <w:bCs/>
                <w:sz w:val="22"/>
                <w:szCs w:val="22"/>
                <w:lang w:val="en-US"/>
              </w:rPr>
              <w:t>P</w:t>
            </w:r>
            <w:r w:rsidRPr="00C44970">
              <w:rPr>
                <w:rFonts w:asciiTheme="minorHAnsi" w:hAnsiTheme="minorHAnsi"/>
                <w:bCs/>
                <w:sz w:val="22"/>
                <w:szCs w:val="22"/>
                <w:lang w:val="en-US"/>
              </w:rPr>
              <w:t>rojects should report this annually based on the education institutions provided with new/ improved water sour</w:t>
            </w:r>
            <w:r w:rsidR="00625F5F">
              <w:rPr>
                <w:rFonts w:asciiTheme="minorHAnsi" w:hAnsiTheme="minorHAnsi"/>
                <w:bCs/>
                <w:sz w:val="22"/>
                <w:szCs w:val="22"/>
                <w:lang w:val="en-US"/>
              </w:rPr>
              <w:t xml:space="preserve">ces during that calendar year. </w:t>
            </w:r>
          </w:p>
          <w:p w14:paraId="25730F1B" w14:textId="77777777" w:rsidR="00E47D8F" w:rsidRPr="00C44970" w:rsidRDefault="00E47D8F" w:rsidP="00E47D8F">
            <w:pPr>
              <w:pStyle w:val="Default"/>
              <w:rPr>
                <w:rFonts w:asciiTheme="minorHAnsi" w:hAnsiTheme="minorHAnsi"/>
                <w:sz w:val="22"/>
                <w:szCs w:val="22"/>
                <w:lang w:val="en-US"/>
              </w:rPr>
            </w:pPr>
          </w:p>
        </w:tc>
      </w:tr>
      <w:tr w:rsidR="00625F5F" w:rsidRPr="00FA56CA" w14:paraId="372FF81D" w14:textId="77777777" w:rsidTr="00E47D8F">
        <w:tc>
          <w:tcPr>
            <w:tcW w:w="15304" w:type="dxa"/>
          </w:tcPr>
          <w:p w14:paraId="477A3AD6" w14:textId="0158A4AC" w:rsidR="00625F5F" w:rsidRPr="00C44970" w:rsidRDefault="00625F5F" w:rsidP="00E47D8F">
            <w:pPr>
              <w:pStyle w:val="Default"/>
              <w:rPr>
                <w:rFonts w:asciiTheme="minorHAnsi" w:hAnsiTheme="minorHAnsi"/>
                <w:b/>
                <w:bCs/>
                <w:sz w:val="22"/>
                <w:szCs w:val="22"/>
                <w:lang w:val="en-US"/>
              </w:rPr>
            </w:pPr>
            <w:r>
              <w:rPr>
                <w:rFonts w:asciiTheme="minorHAnsi" w:hAnsiTheme="minorHAnsi"/>
                <w:b/>
                <w:bCs/>
                <w:sz w:val="22"/>
                <w:szCs w:val="22"/>
                <w:lang w:val="en-US"/>
              </w:rPr>
              <w:t xml:space="preserve">Type of indicator: </w:t>
            </w:r>
            <w:r>
              <w:rPr>
                <w:rFonts w:asciiTheme="minorHAnsi" w:hAnsiTheme="minorHAnsi"/>
                <w:bCs/>
                <w:sz w:val="22"/>
                <w:szCs w:val="22"/>
                <w:lang w:val="en-US"/>
              </w:rPr>
              <w:t xml:space="preserve">Output, </w:t>
            </w:r>
            <w:r w:rsidRPr="00752B57">
              <w:rPr>
                <w:rFonts w:asciiTheme="minorHAnsi" w:hAnsiTheme="minorHAnsi"/>
                <w:bCs/>
                <w:sz w:val="22"/>
                <w:szCs w:val="22"/>
                <w:lang w:val="en-US"/>
              </w:rPr>
              <w:t>cumulative</w:t>
            </w:r>
          </w:p>
        </w:tc>
      </w:tr>
      <w:tr w:rsidR="00E47D8F" w:rsidRPr="00FA56CA" w14:paraId="1D437E9E" w14:textId="77777777" w:rsidTr="00E47D8F">
        <w:tc>
          <w:tcPr>
            <w:tcW w:w="15304" w:type="dxa"/>
            <w:shd w:val="clear" w:color="auto" w:fill="E2EFD9" w:themeFill="accent6" w:themeFillTint="33"/>
          </w:tcPr>
          <w:p w14:paraId="783B7D51" w14:textId="77777777" w:rsidR="00E47D8F" w:rsidRPr="00C44970" w:rsidRDefault="00E47D8F" w:rsidP="00E47D8F">
            <w:pPr>
              <w:rPr>
                <w:rFonts w:eastAsia="Times New Roman" w:cs="Times New Roman"/>
                <w:color w:val="000000"/>
                <w:lang w:val="en-GB" w:eastAsia="en-GB" w:bidi="ar-SA"/>
              </w:rPr>
            </w:pPr>
            <w:r w:rsidRPr="00C44970">
              <w:rPr>
                <w:rFonts w:eastAsia="Times New Roman" w:cs="Times New Roman"/>
                <w:color w:val="000000"/>
                <w:lang w:val="en-GB" w:eastAsia="en-GB" w:bidi="ar-SA"/>
              </w:rPr>
              <w:t>Outcome 1.3: Education policies and plans promote equality and inclusion</w:t>
            </w:r>
          </w:p>
        </w:tc>
      </w:tr>
      <w:tr w:rsidR="00E47D8F" w:rsidRPr="00FA56CA" w14:paraId="32607ABB" w14:textId="77777777" w:rsidTr="00E47D8F">
        <w:tc>
          <w:tcPr>
            <w:tcW w:w="15304" w:type="dxa"/>
            <w:shd w:val="clear" w:color="auto" w:fill="E2EFD9" w:themeFill="accent6" w:themeFillTint="33"/>
          </w:tcPr>
          <w:p w14:paraId="415D4658" w14:textId="3EE1A154" w:rsidR="00E47D8F" w:rsidRPr="00C44970" w:rsidRDefault="00625F5F" w:rsidP="00E47D8F">
            <w:pPr>
              <w:rPr>
                <w:b/>
                <w:bCs/>
                <w:lang w:val="en-US"/>
              </w:rPr>
            </w:pPr>
            <w:r>
              <w:rPr>
                <w:rFonts w:eastAsia="Times New Roman" w:cs="Times New Roman"/>
                <w:color w:val="000000"/>
                <w:lang w:val="en-GB" w:eastAsia="en-GB" w:bidi="ar-SA"/>
              </w:rPr>
              <w:t xml:space="preserve">Indicator </w:t>
            </w:r>
            <w:r w:rsidR="00E47D8F" w:rsidRPr="00C44970">
              <w:rPr>
                <w:rFonts w:eastAsia="Times New Roman" w:cs="Times New Roman"/>
                <w:color w:val="000000"/>
                <w:lang w:val="en-GB" w:eastAsia="en-GB" w:bidi="ar-SA"/>
              </w:rPr>
              <w:t xml:space="preserve">1.3.1: </w:t>
            </w:r>
            <w:r w:rsidR="00AB3CEB" w:rsidRPr="00AB3CEB">
              <w:rPr>
                <w:rFonts w:eastAsia="Times New Roman" w:cs="Times New Roman"/>
                <w:color w:val="000000"/>
                <w:lang w:val="en-GB" w:eastAsia="en-GB" w:bidi="ar-SA"/>
              </w:rPr>
              <w:t># policies and plans developed/revised to include inclusive education (national or provincial)</w:t>
            </w:r>
          </w:p>
        </w:tc>
      </w:tr>
      <w:tr w:rsidR="00E47D8F" w:rsidRPr="00FA56CA" w14:paraId="57319323" w14:textId="77777777" w:rsidTr="00E47D8F">
        <w:tc>
          <w:tcPr>
            <w:tcW w:w="15304" w:type="dxa"/>
          </w:tcPr>
          <w:p w14:paraId="69D280AD" w14:textId="5EED16B9" w:rsidR="0024352A" w:rsidRDefault="0024352A" w:rsidP="00625F5F">
            <w:pPr>
              <w:pStyle w:val="Default"/>
              <w:rPr>
                <w:rFonts w:asciiTheme="minorHAnsi" w:hAnsiTheme="minorHAnsi"/>
                <w:b/>
                <w:bCs/>
                <w:sz w:val="22"/>
                <w:szCs w:val="22"/>
                <w:lang w:val="en-US"/>
              </w:rPr>
            </w:pPr>
            <w:r>
              <w:rPr>
                <w:rFonts w:asciiTheme="minorHAnsi" w:hAnsiTheme="minorHAnsi"/>
                <w:b/>
                <w:bCs/>
                <w:sz w:val="22"/>
                <w:szCs w:val="22"/>
                <w:lang w:val="en-US"/>
              </w:rPr>
              <w:t xml:space="preserve">Number of education policies and/or plans that programme/project has supported the development or revision of that can be considered inclusive. </w:t>
            </w:r>
          </w:p>
          <w:p w14:paraId="7ABA22E5" w14:textId="77777777" w:rsidR="0024352A" w:rsidRDefault="00E47D8F" w:rsidP="00625F5F">
            <w:pPr>
              <w:pStyle w:val="Default"/>
              <w:rPr>
                <w:rFonts w:asciiTheme="minorHAnsi" w:hAnsiTheme="minorHAnsi"/>
                <w:b/>
                <w:bCs/>
                <w:sz w:val="22"/>
                <w:szCs w:val="22"/>
                <w:lang w:val="en-US"/>
              </w:rPr>
            </w:pPr>
            <w:r w:rsidRPr="00C44970">
              <w:rPr>
                <w:rFonts w:asciiTheme="minorHAnsi" w:hAnsiTheme="minorHAnsi"/>
                <w:b/>
                <w:bCs/>
                <w:sz w:val="22"/>
                <w:szCs w:val="22"/>
                <w:lang w:val="en-US"/>
              </w:rPr>
              <w:t xml:space="preserve">Definition: </w:t>
            </w:r>
          </w:p>
          <w:p w14:paraId="7CED2A92" w14:textId="77777777" w:rsidR="0024352A" w:rsidRDefault="0024352A" w:rsidP="00625F5F">
            <w:pPr>
              <w:pStyle w:val="Default"/>
              <w:rPr>
                <w:rFonts w:asciiTheme="minorHAnsi" w:hAnsiTheme="minorHAnsi"/>
                <w:bCs/>
                <w:sz w:val="22"/>
                <w:szCs w:val="22"/>
                <w:lang w:val="en-US"/>
              </w:rPr>
            </w:pPr>
            <w:r>
              <w:rPr>
                <w:rFonts w:asciiTheme="minorHAnsi" w:hAnsiTheme="minorHAnsi"/>
                <w:b/>
                <w:bCs/>
                <w:sz w:val="22"/>
                <w:szCs w:val="22"/>
                <w:lang w:val="en-US"/>
              </w:rPr>
              <w:t xml:space="preserve">Inclusive: </w:t>
            </w:r>
            <w:r>
              <w:rPr>
                <w:rFonts w:asciiTheme="minorHAnsi" w:hAnsiTheme="minorHAnsi"/>
                <w:b/>
                <w:bCs/>
                <w:sz w:val="22"/>
                <w:szCs w:val="22"/>
                <w:lang w:val="en-US"/>
              </w:rPr>
              <w:br/>
              <w:t xml:space="preserve">Existing policies and/or plans: </w:t>
            </w:r>
            <w:r w:rsidRPr="0024352A">
              <w:rPr>
                <w:rFonts w:asciiTheme="minorHAnsi" w:hAnsiTheme="minorHAnsi"/>
                <w:bCs/>
                <w:sz w:val="22"/>
                <w:szCs w:val="22"/>
                <w:lang w:val="en-US"/>
              </w:rPr>
              <w:t xml:space="preserve">A gap analysis of existing target policies and plans need to be conducted to identify the most important areas for inclusion. Upon revision programme/project will need to analyse </w:t>
            </w:r>
            <w:r>
              <w:rPr>
                <w:rFonts w:asciiTheme="minorHAnsi" w:hAnsiTheme="minorHAnsi"/>
                <w:bCs/>
                <w:sz w:val="22"/>
                <w:szCs w:val="22"/>
                <w:lang w:val="en-US"/>
              </w:rPr>
              <w:t xml:space="preserve">target documents to check if </w:t>
            </w:r>
            <w:r w:rsidRPr="0024352A">
              <w:rPr>
                <w:rFonts w:asciiTheme="minorHAnsi" w:hAnsiTheme="minorHAnsi"/>
                <w:bCs/>
                <w:sz w:val="22"/>
                <w:szCs w:val="22"/>
                <w:lang w:val="en-US"/>
              </w:rPr>
              <w:t xml:space="preserve">key gaps have been addressed in </w:t>
            </w:r>
            <w:r>
              <w:rPr>
                <w:rFonts w:asciiTheme="minorHAnsi" w:hAnsiTheme="minorHAnsi"/>
                <w:bCs/>
                <w:sz w:val="22"/>
                <w:szCs w:val="22"/>
                <w:lang w:val="en-US"/>
              </w:rPr>
              <w:t xml:space="preserve">the revised version. </w:t>
            </w:r>
          </w:p>
          <w:p w14:paraId="527506AA" w14:textId="4B6BA12C" w:rsidR="0024352A" w:rsidRPr="0024352A" w:rsidRDefault="0024352A" w:rsidP="00625F5F">
            <w:pPr>
              <w:pStyle w:val="Default"/>
              <w:rPr>
                <w:rFonts w:asciiTheme="minorHAnsi" w:hAnsiTheme="minorHAnsi"/>
                <w:bCs/>
                <w:sz w:val="22"/>
                <w:szCs w:val="22"/>
                <w:lang w:val="en-US"/>
              </w:rPr>
            </w:pPr>
            <w:r>
              <w:rPr>
                <w:rFonts w:asciiTheme="minorHAnsi" w:hAnsiTheme="minorHAnsi"/>
                <w:bCs/>
                <w:sz w:val="22"/>
                <w:szCs w:val="22"/>
                <w:lang w:val="en-US"/>
              </w:rPr>
              <w:t xml:space="preserve">New policies and plans: For the area that the new policies and/or plans should target an analysis of key implications for inclusion should be conducted. Upon finalizing the documents an assessment </w:t>
            </w:r>
            <w:r w:rsidR="00AB3CEB">
              <w:rPr>
                <w:rFonts w:asciiTheme="minorHAnsi" w:hAnsiTheme="minorHAnsi"/>
                <w:bCs/>
                <w:sz w:val="22"/>
                <w:szCs w:val="22"/>
                <w:lang w:val="en-US"/>
              </w:rPr>
              <w:t xml:space="preserve">of their content </w:t>
            </w:r>
            <w:r>
              <w:rPr>
                <w:rFonts w:asciiTheme="minorHAnsi" w:hAnsiTheme="minorHAnsi"/>
                <w:bCs/>
                <w:sz w:val="22"/>
                <w:szCs w:val="22"/>
                <w:lang w:val="en-US"/>
              </w:rPr>
              <w:t xml:space="preserve">should be done </w:t>
            </w:r>
            <w:r w:rsidR="00AB3CEB">
              <w:rPr>
                <w:rFonts w:asciiTheme="minorHAnsi" w:hAnsiTheme="minorHAnsi"/>
                <w:bCs/>
                <w:sz w:val="22"/>
                <w:szCs w:val="22"/>
                <w:lang w:val="en-US"/>
              </w:rPr>
              <w:t xml:space="preserve">to </w:t>
            </w:r>
            <w:r>
              <w:rPr>
                <w:rFonts w:asciiTheme="minorHAnsi" w:hAnsiTheme="minorHAnsi"/>
                <w:bCs/>
                <w:sz w:val="22"/>
                <w:szCs w:val="22"/>
                <w:lang w:val="en-US"/>
              </w:rPr>
              <w:t xml:space="preserve">determine to what degree the policies and/or plans have </w:t>
            </w:r>
            <w:r w:rsidR="00AB3CEB">
              <w:rPr>
                <w:rFonts w:asciiTheme="minorHAnsi" w:hAnsiTheme="minorHAnsi"/>
                <w:bCs/>
                <w:sz w:val="22"/>
                <w:szCs w:val="22"/>
                <w:lang w:val="en-US"/>
              </w:rPr>
              <w:t xml:space="preserve">taken the identified inclusion components into account. </w:t>
            </w:r>
          </w:p>
          <w:p w14:paraId="3A512CD4" w14:textId="6E6559F0" w:rsidR="00E47D8F" w:rsidRPr="00C44970" w:rsidRDefault="00AB3CEB" w:rsidP="00AB3CEB">
            <w:pPr>
              <w:pStyle w:val="Default"/>
              <w:rPr>
                <w:rFonts w:asciiTheme="minorHAnsi" w:hAnsiTheme="minorHAnsi"/>
                <w:b/>
                <w:bCs/>
                <w:sz w:val="22"/>
                <w:szCs w:val="22"/>
                <w:highlight w:val="lightGray"/>
                <w:lang w:val="en-US"/>
              </w:rPr>
            </w:pPr>
            <w:r>
              <w:rPr>
                <w:rFonts w:asciiTheme="minorHAnsi" w:hAnsiTheme="minorHAnsi"/>
                <w:bCs/>
                <w:sz w:val="22"/>
                <w:szCs w:val="22"/>
                <w:lang w:val="en-US"/>
              </w:rPr>
              <w:t xml:space="preserve">An inclusive policy and/or plan </w:t>
            </w:r>
            <w:r w:rsidR="00E47D8F" w:rsidRPr="00C44970">
              <w:rPr>
                <w:rFonts w:asciiTheme="minorHAnsi" w:hAnsiTheme="minorHAnsi"/>
                <w:bCs/>
                <w:sz w:val="22"/>
                <w:szCs w:val="22"/>
                <w:lang w:val="en-US"/>
              </w:rPr>
              <w:t xml:space="preserve">must detail </w:t>
            </w:r>
            <w:r w:rsidR="00625F5F">
              <w:rPr>
                <w:rFonts w:asciiTheme="minorHAnsi" w:hAnsiTheme="minorHAnsi"/>
                <w:bCs/>
                <w:sz w:val="22"/>
                <w:szCs w:val="22"/>
                <w:lang w:val="en-US"/>
              </w:rPr>
              <w:t xml:space="preserve">out </w:t>
            </w:r>
            <w:r w:rsidR="00E47D8F" w:rsidRPr="00C44970">
              <w:rPr>
                <w:rFonts w:asciiTheme="minorHAnsi" w:hAnsiTheme="minorHAnsi"/>
                <w:bCs/>
                <w:sz w:val="22"/>
                <w:szCs w:val="22"/>
                <w:lang w:val="en-US"/>
              </w:rPr>
              <w:t xml:space="preserve">how </w:t>
            </w:r>
            <w:r>
              <w:rPr>
                <w:rFonts w:asciiTheme="minorHAnsi" w:hAnsiTheme="minorHAnsi"/>
                <w:bCs/>
                <w:sz w:val="22"/>
                <w:szCs w:val="22"/>
                <w:lang w:val="en-US"/>
              </w:rPr>
              <w:t xml:space="preserve">the </w:t>
            </w:r>
            <w:r w:rsidR="00E47D8F" w:rsidRPr="00C44970">
              <w:rPr>
                <w:rFonts w:asciiTheme="minorHAnsi" w:hAnsiTheme="minorHAnsi"/>
                <w:bCs/>
                <w:sz w:val="22"/>
                <w:szCs w:val="22"/>
                <w:lang w:val="en-US"/>
              </w:rPr>
              <w:t xml:space="preserve">education system / sub sector of the system will enable improved access and learning for </w:t>
            </w:r>
            <w:r w:rsidR="00E47D8F" w:rsidRPr="008E7291">
              <w:rPr>
                <w:rFonts w:cs="Arial"/>
                <w:sz w:val="22"/>
                <w:szCs w:val="22"/>
                <w:lang w:val="en-US"/>
              </w:rPr>
              <w:t>all children</w:t>
            </w:r>
            <w:r w:rsidR="00E47D8F">
              <w:rPr>
                <w:rFonts w:cs="Arial"/>
                <w:sz w:val="22"/>
                <w:szCs w:val="22"/>
                <w:lang w:val="en-US"/>
              </w:rPr>
              <w:t>,</w:t>
            </w:r>
            <w:r w:rsidR="00E47D8F" w:rsidRPr="008E7291">
              <w:rPr>
                <w:rFonts w:cs="Arial"/>
                <w:sz w:val="22"/>
                <w:szCs w:val="22"/>
                <w:lang w:val="en-US"/>
              </w:rPr>
              <w:t xml:space="preserve"> regardless of their physical, intellectual, emotional, social, linguistic or other conditions</w:t>
            </w:r>
            <w:r w:rsidR="00E47D8F" w:rsidRPr="00C44970">
              <w:rPr>
                <w:rFonts w:asciiTheme="minorHAnsi" w:hAnsiTheme="minorHAnsi"/>
                <w:bCs/>
                <w:sz w:val="22"/>
                <w:szCs w:val="22"/>
                <w:lang w:val="en-US"/>
              </w:rPr>
              <w:t xml:space="preserve"> (e.g. children with disabilities, pastoralists, minority language speakers, children from marginalized ethnic groups, refugee children) within the mainstream </w:t>
            </w:r>
            <w:r w:rsidR="00E47D8F">
              <w:rPr>
                <w:rFonts w:asciiTheme="minorHAnsi" w:hAnsiTheme="minorHAnsi"/>
                <w:bCs/>
                <w:sz w:val="22"/>
                <w:szCs w:val="22"/>
                <w:lang w:val="en-US"/>
              </w:rPr>
              <w:t xml:space="preserve">education </w:t>
            </w:r>
            <w:r w:rsidR="00E47D8F" w:rsidRPr="00C44970">
              <w:rPr>
                <w:rFonts w:asciiTheme="minorHAnsi" w:hAnsiTheme="minorHAnsi"/>
                <w:bCs/>
                <w:sz w:val="22"/>
                <w:szCs w:val="22"/>
                <w:lang w:val="en-US"/>
              </w:rPr>
              <w:t>system</w:t>
            </w:r>
            <w:r w:rsidR="00E47D8F">
              <w:rPr>
                <w:rFonts w:asciiTheme="minorHAnsi" w:hAnsiTheme="minorHAnsi"/>
                <w:bCs/>
                <w:sz w:val="22"/>
                <w:szCs w:val="22"/>
                <w:lang w:val="en-US"/>
              </w:rPr>
              <w:t xml:space="preserve"> (UNESCO 1994)</w:t>
            </w:r>
            <w:r w:rsidR="00E47D8F" w:rsidRPr="00C44970">
              <w:rPr>
                <w:rFonts w:asciiTheme="minorHAnsi" w:hAnsiTheme="minorHAnsi"/>
                <w:bCs/>
                <w:sz w:val="22"/>
                <w:szCs w:val="22"/>
                <w:lang w:val="en-US"/>
              </w:rPr>
              <w:t>.</w:t>
            </w:r>
            <w:r w:rsidR="00E47D8F">
              <w:rPr>
                <w:rFonts w:asciiTheme="minorHAnsi" w:hAnsiTheme="minorHAnsi"/>
                <w:bCs/>
                <w:sz w:val="22"/>
                <w:szCs w:val="22"/>
                <w:lang w:val="en-US"/>
              </w:rPr>
              <w:t xml:space="preserve"> </w:t>
            </w:r>
          </w:p>
        </w:tc>
      </w:tr>
      <w:tr w:rsidR="00E47D8F" w:rsidRPr="00FA56CA" w14:paraId="5DED14FE" w14:textId="77777777" w:rsidTr="00E47D8F">
        <w:tc>
          <w:tcPr>
            <w:tcW w:w="15304" w:type="dxa"/>
          </w:tcPr>
          <w:p w14:paraId="5D2B3715" w14:textId="7BE106F3" w:rsidR="00E47D8F" w:rsidRPr="00AB3CEB" w:rsidRDefault="00E47D8F" w:rsidP="00E47D8F">
            <w:pPr>
              <w:pStyle w:val="Default"/>
              <w:rPr>
                <w:rFonts w:asciiTheme="minorHAnsi" w:hAnsiTheme="minorHAnsi"/>
                <w:b/>
                <w:bCs/>
                <w:sz w:val="22"/>
                <w:szCs w:val="22"/>
                <w:lang w:val="en-US"/>
              </w:rPr>
            </w:pPr>
            <w:r w:rsidRPr="00C44970">
              <w:rPr>
                <w:rFonts w:asciiTheme="minorHAnsi" w:hAnsiTheme="minorHAnsi"/>
                <w:b/>
                <w:bCs/>
                <w:sz w:val="22"/>
                <w:szCs w:val="22"/>
                <w:lang w:val="en-US"/>
              </w:rPr>
              <w:t xml:space="preserve">Methodology: </w:t>
            </w:r>
            <w:r w:rsidRPr="00C44970">
              <w:rPr>
                <w:rFonts w:asciiTheme="minorHAnsi" w:hAnsiTheme="minorHAnsi"/>
                <w:bCs/>
                <w:sz w:val="22"/>
                <w:szCs w:val="22"/>
                <w:lang w:val="en-US"/>
              </w:rPr>
              <w:t>Report</w:t>
            </w:r>
            <w:r w:rsidR="00AB3CEB">
              <w:rPr>
                <w:rFonts w:asciiTheme="minorHAnsi" w:hAnsiTheme="minorHAnsi"/>
                <w:bCs/>
                <w:sz w:val="22"/>
                <w:szCs w:val="22"/>
                <w:lang w:val="en-US"/>
              </w:rPr>
              <w:t xml:space="preserve"> for the year that the document/revision </w:t>
            </w:r>
            <w:r w:rsidRPr="00C44970">
              <w:rPr>
                <w:rFonts w:asciiTheme="minorHAnsi" w:hAnsiTheme="minorHAnsi"/>
                <w:bCs/>
                <w:sz w:val="22"/>
                <w:szCs w:val="22"/>
                <w:lang w:val="en-US"/>
              </w:rPr>
              <w:t>is formally approved and published.</w:t>
            </w:r>
          </w:p>
        </w:tc>
      </w:tr>
      <w:tr w:rsidR="00AB3CEB" w:rsidRPr="00FA56CA" w14:paraId="5B582CFA" w14:textId="77777777" w:rsidTr="00E47D8F">
        <w:tc>
          <w:tcPr>
            <w:tcW w:w="15304" w:type="dxa"/>
          </w:tcPr>
          <w:p w14:paraId="2645B5B2" w14:textId="279B1921" w:rsidR="00AB3CEB" w:rsidRPr="00C44970" w:rsidRDefault="00AB3CEB" w:rsidP="00AB3CEB">
            <w:pPr>
              <w:pStyle w:val="Default"/>
              <w:rPr>
                <w:rFonts w:asciiTheme="minorHAnsi" w:hAnsiTheme="minorHAnsi"/>
                <w:b/>
                <w:bCs/>
                <w:sz w:val="22"/>
                <w:szCs w:val="22"/>
                <w:lang w:val="en-US"/>
              </w:rPr>
            </w:pPr>
            <w:r>
              <w:rPr>
                <w:rFonts w:asciiTheme="minorHAnsi" w:hAnsiTheme="minorHAnsi"/>
                <w:b/>
                <w:bCs/>
                <w:sz w:val="22"/>
                <w:szCs w:val="22"/>
                <w:lang w:val="en-US"/>
              </w:rPr>
              <w:t xml:space="preserve">Type of indicator: </w:t>
            </w:r>
            <w:r>
              <w:rPr>
                <w:rFonts w:asciiTheme="minorHAnsi" w:hAnsiTheme="minorHAnsi"/>
                <w:bCs/>
                <w:sz w:val="22"/>
                <w:szCs w:val="22"/>
                <w:lang w:val="en-US"/>
              </w:rPr>
              <w:t xml:space="preserve">Output, </w:t>
            </w:r>
            <w:r w:rsidRPr="00752B57">
              <w:rPr>
                <w:rFonts w:asciiTheme="minorHAnsi" w:hAnsiTheme="minorHAnsi"/>
                <w:bCs/>
                <w:sz w:val="22"/>
                <w:szCs w:val="22"/>
                <w:lang w:val="en-US"/>
              </w:rPr>
              <w:t>cumulative</w:t>
            </w:r>
          </w:p>
        </w:tc>
      </w:tr>
      <w:tr w:rsidR="00AB3CEB" w:rsidRPr="00FA56CA" w14:paraId="3EB63A63" w14:textId="77777777" w:rsidTr="00E47D8F">
        <w:tc>
          <w:tcPr>
            <w:tcW w:w="15304" w:type="dxa"/>
            <w:shd w:val="clear" w:color="auto" w:fill="E2EFD9" w:themeFill="accent6" w:themeFillTint="33"/>
          </w:tcPr>
          <w:p w14:paraId="6B4B317B" w14:textId="5DEC852A" w:rsidR="00AB3CEB" w:rsidRPr="00C44970" w:rsidRDefault="00B33ECB" w:rsidP="00AB3CEB">
            <w:pPr>
              <w:rPr>
                <w:b/>
                <w:bCs/>
                <w:lang w:val="en-US"/>
              </w:rPr>
            </w:pPr>
            <w:r>
              <w:rPr>
                <w:rFonts w:eastAsia="Times New Roman" w:cs="Times New Roman"/>
                <w:color w:val="000000"/>
                <w:lang w:val="en-GB" w:eastAsia="en-GB" w:bidi="ar-SA"/>
              </w:rPr>
              <w:t xml:space="preserve">Indicator </w:t>
            </w:r>
            <w:r w:rsidR="00AB3CEB" w:rsidRPr="00C44970">
              <w:rPr>
                <w:rFonts w:eastAsia="Times New Roman" w:cs="Times New Roman"/>
                <w:color w:val="000000"/>
                <w:lang w:val="en-GB" w:eastAsia="en-GB" w:bidi="ar-SA"/>
              </w:rPr>
              <w:t>1.3.2: # of scholarships/ conditional cash transfers/ fee waivers</w:t>
            </w:r>
            <w:r w:rsidR="00AB3CEB">
              <w:rPr>
                <w:rFonts w:eastAsia="Times New Roman" w:cs="Times New Roman"/>
                <w:color w:val="000000"/>
                <w:lang w:val="en-GB" w:eastAsia="en-GB" w:bidi="ar-SA"/>
              </w:rPr>
              <w:t>/other incentives</w:t>
            </w:r>
            <w:r w:rsidR="00AB3CEB" w:rsidRPr="00C44970">
              <w:rPr>
                <w:rFonts w:eastAsia="Times New Roman" w:cs="Times New Roman"/>
                <w:color w:val="000000"/>
                <w:lang w:val="en-GB" w:eastAsia="en-GB" w:bidi="ar-SA"/>
              </w:rPr>
              <w:t xml:space="preserve"> to </w:t>
            </w:r>
            <w:r w:rsidR="00462AEE">
              <w:rPr>
                <w:rFonts w:eastAsia="Times New Roman" w:cs="Times New Roman"/>
                <w:color w:val="000000"/>
                <w:lang w:val="en-GB" w:eastAsia="en-GB" w:bidi="ar-SA"/>
              </w:rPr>
              <w:t xml:space="preserve">target </w:t>
            </w:r>
            <w:r w:rsidR="00AB3CEB" w:rsidRPr="00C44970">
              <w:rPr>
                <w:rFonts w:eastAsia="Times New Roman" w:cs="Times New Roman"/>
                <w:color w:val="000000"/>
                <w:lang w:val="en-GB" w:eastAsia="en-GB" w:bidi="ar-SA"/>
              </w:rPr>
              <w:t xml:space="preserve">marginalised </w:t>
            </w:r>
            <w:r w:rsidR="00AB3CEB">
              <w:rPr>
                <w:rFonts w:eastAsia="Times New Roman" w:cs="Times New Roman"/>
                <w:color w:val="000000"/>
                <w:lang w:val="en-GB" w:eastAsia="en-GB" w:bidi="ar-SA"/>
              </w:rPr>
              <w:t>students</w:t>
            </w:r>
          </w:p>
        </w:tc>
      </w:tr>
      <w:tr w:rsidR="00AB3CEB" w:rsidRPr="00FA56CA" w14:paraId="1AEEE506" w14:textId="77777777" w:rsidTr="00E47D8F">
        <w:tc>
          <w:tcPr>
            <w:tcW w:w="15304" w:type="dxa"/>
          </w:tcPr>
          <w:p w14:paraId="2FDE5D02" w14:textId="76C9FEBA" w:rsidR="00B33ECB" w:rsidRPr="00EA0B41" w:rsidRDefault="00B33ECB" w:rsidP="00AB3CEB">
            <w:pPr>
              <w:pStyle w:val="Default"/>
              <w:rPr>
                <w:rFonts w:asciiTheme="minorHAnsi" w:hAnsiTheme="minorHAnsi"/>
                <w:b/>
                <w:bCs/>
                <w:sz w:val="22"/>
                <w:szCs w:val="22"/>
                <w:lang w:val="en-US"/>
              </w:rPr>
            </w:pPr>
            <w:r w:rsidRPr="00EA0B41">
              <w:rPr>
                <w:rFonts w:asciiTheme="minorHAnsi" w:hAnsiTheme="minorHAnsi"/>
                <w:b/>
                <w:bCs/>
                <w:sz w:val="22"/>
                <w:szCs w:val="22"/>
                <w:lang w:val="en-US"/>
              </w:rPr>
              <w:t>Number of students that are disadvantaged in terms of access to education that receives additional support with the purpose of enabling them to enroll and/or attend an educational programme.</w:t>
            </w:r>
          </w:p>
          <w:p w14:paraId="3E3E1690" w14:textId="77777777" w:rsidR="00B33ECB" w:rsidRDefault="00B33ECB" w:rsidP="00AB3CEB">
            <w:pPr>
              <w:pStyle w:val="Default"/>
              <w:rPr>
                <w:rFonts w:asciiTheme="minorHAnsi" w:hAnsiTheme="minorHAnsi"/>
                <w:b/>
                <w:bCs/>
                <w:sz w:val="22"/>
                <w:szCs w:val="22"/>
                <w:lang w:val="en-US"/>
              </w:rPr>
            </w:pPr>
          </w:p>
          <w:p w14:paraId="0C1029FA" w14:textId="77777777" w:rsidR="00B33ECB" w:rsidRDefault="00AB3CEB" w:rsidP="00AB3CEB">
            <w:pPr>
              <w:pStyle w:val="Default"/>
              <w:rPr>
                <w:rFonts w:asciiTheme="minorHAnsi" w:hAnsiTheme="minorHAnsi"/>
                <w:b/>
                <w:bCs/>
                <w:sz w:val="22"/>
                <w:szCs w:val="22"/>
                <w:lang w:val="en-US"/>
              </w:rPr>
            </w:pPr>
            <w:r w:rsidRPr="00C44970">
              <w:rPr>
                <w:rFonts w:asciiTheme="minorHAnsi" w:hAnsiTheme="minorHAnsi"/>
                <w:b/>
                <w:bCs/>
                <w:sz w:val="22"/>
                <w:szCs w:val="22"/>
                <w:lang w:val="en-US"/>
              </w:rPr>
              <w:t xml:space="preserve">Definition: </w:t>
            </w:r>
          </w:p>
          <w:p w14:paraId="4D59CA78" w14:textId="5F6CEDD9" w:rsidR="00B33ECB" w:rsidRDefault="00B33ECB" w:rsidP="00AB3CEB">
            <w:pPr>
              <w:pStyle w:val="Default"/>
              <w:rPr>
                <w:rFonts w:asciiTheme="minorHAnsi" w:hAnsiTheme="minorHAnsi"/>
                <w:bCs/>
                <w:sz w:val="22"/>
                <w:szCs w:val="22"/>
                <w:lang w:val="en-US"/>
              </w:rPr>
            </w:pPr>
            <w:r w:rsidRPr="00B33ECB">
              <w:rPr>
                <w:rFonts w:asciiTheme="minorHAnsi" w:hAnsiTheme="minorHAnsi"/>
                <w:b/>
                <w:bCs/>
                <w:sz w:val="22"/>
                <w:szCs w:val="22"/>
                <w:lang w:val="en-US"/>
              </w:rPr>
              <w:t>Marginalised children/</w:t>
            </w:r>
            <w:r w:rsidR="00AB3CEB" w:rsidRPr="00B33ECB">
              <w:rPr>
                <w:rFonts w:asciiTheme="minorHAnsi" w:hAnsiTheme="minorHAnsi"/>
                <w:b/>
                <w:bCs/>
                <w:sz w:val="22"/>
                <w:szCs w:val="22"/>
                <w:lang w:val="en-US"/>
              </w:rPr>
              <w:t>students</w:t>
            </w:r>
            <w:r w:rsidRPr="00B33ECB">
              <w:rPr>
                <w:rFonts w:asciiTheme="minorHAnsi" w:hAnsiTheme="minorHAnsi"/>
                <w:b/>
                <w:bCs/>
                <w:sz w:val="22"/>
                <w:szCs w:val="22"/>
                <w:lang w:val="en-US"/>
              </w:rPr>
              <w:t>:</w:t>
            </w:r>
            <w:r>
              <w:rPr>
                <w:rFonts w:asciiTheme="minorHAnsi" w:hAnsiTheme="minorHAnsi"/>
                <w:bCs/>
                <w:sz w:val="22"/>
                <w:szCs w:val="22"/>
                <w:lang w:val="en-US"/>
              </w:rPr>
              <w:t xml:space="preserve"> C</w:t>
            </w:r>
            <w:r w:rsidR="00AB3CEB" w:rsidRPr="00C44970">
              <w:rPr>
                <w:rFonts w:asciiTheme="minorHAnsi" w:hAnsiTheme="minorHAnsi"/>
                <w:bCs/>
                <w:sz w:val="22"/>
                <w:szCs w:val="22"/>
                <w:lang w:val="en-US"/>
              </w:rPr>
              <w:t>an</w:t>
            </w:r>
            <w:r>
              <w:rPr>
                <w:rFonts w:asciiTheme="minorHAnsi" w:hAnsiTheme="minorHAnsi"/>
                <w:bCs/>
                <w:sz w:val="22"/>
                <w:szCs w:val="22"/>
                <w:lang w:val="en-US"/>
              </w:rPr>
              <w:t xml:space="preserve"> include out of school children</w:t>
            </w:r>
            <w:r w:rsidR="00AB3CEB" w:rsidRPr="00C44970">
              <w:rPr>
                <w:rFonts w:asciiTheme="minorHAnsi" w:hAnsiTheme="minorHAnsi"/>
                <w:bCs/>
                <w:sz w:val="22"/>
                <w:szCs w:val="22"/>
                <w:lang w:val="en-US"/>
              </w:rPr>
              <w:t xml:space="preserve">, </w:t>
            </w:r>
            <w:r>
              <w:rPr>
                <w:rFonts w:asciiTheme="minorHAnsi" w:hAnsiTheme="minorHAnsi"/>
                <w:bCs/>
                <w:sz w:val="22"/>
                <w:szCs w:val="22"/>
                <w:lang w:val="en-US"/>
              </w:rPr>
              <w:t>students f</w:t>
            </w:r>
            <w:r w:rsidR="00AB3CEB" w:rsidRPr="00C44970">
              <w:rPr>
                <w:rFonts w:asciiTheme="minorHAnsi" w:hAnsiTheme="minorHAnsi"/>
                <w:bCs/>
                <w:sz w:val="22"/>
                <w:szCs w:val="22"/>
                <w:lang w:val="en-US"/>
              </w:rPr>
              <w:t>rom poor households</w:t>
            </w:r>
            <w:r>
              <w:rPr>
                <w:rFonts w:asciiTheme="minorHAnsi" w:hAnsiTheme="minorHAnsi"/>
                <w:bCs/>
                <w:sz w:val="22"/>
                <w:szCs w:val="22"/>
                <w:lang w:val="en-US"/>
              </w:rPr>
              <w:t xml:space="preserve"> and </w:t>
            </w:r>
            <w:r w:rsidR="00AB3CEB" w:rsidRPr="00C44970">
              <w:rPr>
                <w:rFonts w:asciiTheme="minorHAnsi" w:hAnsiTheme="minorHAnsi"/>
                <w:bCs/>
                <w:sz w:val="22"/>
                <w:szCs w:val="22"/>
                <w:lang w:val="en-US"/>
              </w:rPr>
              <w:t xml:space="preserve">poor/remote areas, </w:t>
            </w:r>
            <w:r>
              <w:rPr>
                <w:rFonts w:asciiTheme="minorHAnsi" w:hAnsiTheme="minorHAnsi"/>
                <w:bCs/>
                <w:sz w:val="22"/>
                <w:szCs w:val="22"/>
                <w:lang w:val="en-US"/>
              </w:rPr>
              <w:t xml:space="preserve">students </w:t>
            </w:r>
            <w:r w:rsidR="00AB3CEB" w:rsidRPr="00C44970">
              <w:rPr>
                <w:rFonts w:asciiTheme="minorHAnsi" w:hAnsiTheme="minorHAnsi"/>
                <w:bCs/>
                <w:sz w:val="22"/>
                <w:szCs w:val="22"/>
                <w:lang w:val="en-US"/>
              </w:rPr>
              <w:t xml:space="preserve">with disabilities, children affected by conflict and crisis, </w:t>
            </w:r>
            <w:r>
              <w:rPr>
                <w:rFonts w:asciiTheme="minorHAnsi" w:hAnsiTheme="minorHAnsi"/>
                <w:bCs/>
                <w:sz w:val="22"/>
                <w:szCs w:val="22"/>
                <w:lang w:val="en-US"/>
              </w:rPr>
              <w:t>students f</w:t>
            </w:r>
            <w:r w:rsidR="00AB3CEB" w:rsidRPr="00C44970">
              <w:rPr>
                <w:rFonts w:asciiTheme="minorHAnsi" w:hAnsiTheme="minorHAnsi"/>
                <w:bCs/>
                <w:sz w:val="22"/>
                <w:szCs w:val="22"/>
                <w:lang w:val="en-US"/>
              </w:rPr>
              <w:t xml:space="preserve">rom marginalised ethnic groups. Girls (or boys) may be considered a marginalized group in themselves in contexts where the gender parity index for access to the target level of education is below 0.8 (or above 1.25). </w:t>
            </w:r>
          </w:p>
          <w:p w14:paraId="6A753264" w14:textId="6274A746" w:rsidR="00B33ECB" w:rsidRDefault="00B33ECB" w:rsidP="00AB3CEB">
            <w:pPr>
              <w:pStyle w:val="Default"/>
              <w:rPr>
                <w:rFonts w:asciiTheme="minorHAnsi" w:hAnsiTheme="minorHAnsi"/>
                <w:bCs/>
                <w:sz w:val="22"/>
                <w:szCs w:val="22"/>
                <w:lang w:val="en-US"/>
              </w:rPr>
            </w:pPr>
            <w:r w:rsidRPr="00B33ECB">
              <w:rPr>
                <w:rFonts w:asciiTheme="minorHAnsi" w:hAnsiTheme="minorHAnsi"/>
                <w:b/>
                <w:bCs/>
                <w:sz w:val="22"/>
                <w:szCs w:val="22"/>
                <w:lang w:val="en-US"/>
              </w:rPr>
              <w:t>Additional support:</w:t>
            </w:r>
            <w:r>
              <w:rPr>
                <w:rFonts w:asciiTheme="minorHAnsi" w:hAnsiTheme="minorHAnsi"/>
                <w:bCs/>
                <w:sz w:val="22"/>
                <w:szCs w:val="22"/>
                <w:lang w:val="en-US"/>
              </w:rPr>
              <w:t xml:space="preserve"> Can include scholarships, conditional cash transfers, fee waivers, school material support, take home rations etc. </w:t>
            </w:r>
          </w:p>
          <w:p w14:paraId="0684DB17" w14:textId="77777777" w:rsidR="00B33ECB" w:rsidRDefault="00B33ECB" w:rsidP="00AB3CEB">
            <w:pPr>
              <w:pStyle w:val="Default"/>
              <w:rPr>
                <w:rFonts w:asciiTheme="minorHAnsi" w:hAnsiTheme="minorHAnsi"/>
                <w:bCs/>
                <w:sz w:val="22"/>
                <w:szCs w:val="22"/>
                <w:lang w:val="en-US"/>
              </w:rPr>
            </w:pPr>
          </w:p>
          <w:p w14:paraId="6FEAC7CC" w14:textId="36200C4E" w:rsidR="00AB3CEB" w:rsidRPr="00C44970" w:rsidRDefault="00AB3CEB" w:rsidP="00AB3CEB">
            <w:pPr>
              <w:pStyle w:val="Default"/>
              <w:rPr>
                <w:rFonts w:asciiTheme="minorHAnsi" w:hAnsiTheme="minorHAnsi"/>
                <w:bCs/>
                <w:sz w:val="22"/>
                <w:szCs w:val="22"/>
                <w:lang w:val="en-US"/>
              </w:rPr>
            </w:pPr>
            <w:r w:rsidRPr="00C44970">
              <w:rPr>
                <w:rFonts w:asciiTheme="minorHAnsi" w:hAnsiTheme="minorHAnsi"/>
                <w:bCs/>
                <w:sz w:val="22"/>
                <w:szCs w:val="22"/>
                <w:lang w:val="en-US"/>
              </w:rPr>
              <w:t>This</w:t>
            </w:r>
            <w:r w:rsidR="00B33ECB">
              <w:rPr>
                <w:rFonts w:asciiTheme="minorHAnsi" w:hAnsiTheme="minorHAnsi"/>
                <w:bCs/>
                <w:sz w:val="22"/>
                <w:szCs w:val="22"/>
                <w:lang w:val="en-US"/>
              </w:rPr>
              <w:t xml:space="preserve"> indicator refers to primary,</w:t>
            </w:r>
            <w:r w:rsidRPr="00C44970">
              <w:rPr>
                <w:rFonts w:asciiTheme="minorHAnsi" w:hAnsiTheme="minorHAnsi"/>
                <w:bCs/>
                <w:sz w:val="22"/>
                <w:szCs w:val="22"/>
                <w:lang w:val="en-US"/>
              </w:rPr>
              <w:t xml:space="preserve"> lower secondary education</w:t>
            </w:r>
            <w:r w:rsidR="00B33ECB">
              <w:rPr>
                <w:rFonts w:asciiTheme="minorHAnsi" w:hAnsiTheme="minorHAnsi"/>
                <w:bCs/>
                <w:sz w:val="22"/>
                <w:szCs w:val="22"/>
                <w:lang w:val="en-US"/>
              </w:rPr>
              <w:t xml:space="preserve"> and alternative learning programmes</w:t>
            </w:r>
            <w:r w:rsidRPr="00C44970">
              <w:rPr>
                <w:rFonts w:asciiTheme="minorHAnsi" w:hAnsiTheme="minorHAnsi"/>
                <w:bCs/>
                <w:sz w:val="22"/>
                <w:szCs w:val="22"/>
                <w:lang w:val="en-US"/>
              </w:rPr>
              <w:t>. For scholarships at the upper secondary/ p</w:t>
            </w:r>
            <w:r w:rsidR="00B33ECB">
              <w:rPr>
                <w:rFonts w:asciiTheme="minorHAnsi" w:hAnsiTheme="minorHAnsi"/>
                <w:bCs/>
                <w:sz w:val="22"/>
                <w:szCs w:val="22"/>
                <w:lang w:val="en-US"/>
              </w:rPr>
              <w:t xml:space="preserve">ost compulsory school level, </w:t>
            </w:r>
            <w:r w:rsidRPr="00C44970">
              <w:rPr>
                <w:rFonts w:asciiTheme="minorHAnsi" w:hAnsiTheme="minorHAnsi"/>
                <w:bCs/>
                <w:sz w:val="22"/>
                <w:szCs w:val="22"/>
                <w:lang w:val="en-US"/>
              </w:rPr>
              <w:t>for youth over the official age of compulsory education</w:t>
            </w:r>
            <w:r w:rsidR="00B33ECB">
              <w:rPr>
                <w:rFonts w:asciiTheme="minorHAnsi" w:hAnsiTheme="minorHAnsi"/>
                <w:bCs/>
                <w:sz w:val="22"/>
                <w:szCs w:val="22"/>
                <w:lang w:val="en-US"/>
              </w:rPr>
              <w:t xml:space="preserve"> and vocational training</w:t>
            </w:r>
            <w:r w:rsidRPr="00C44970">
              <w:rPr>
                <w:rFonts w:asciiTheme="minorHAnsi" w:hAnsiTheme="minorHAnsi"/>
                <w:bCs/>
                <w:sz w:val="22"/>
                <w:szCs w:val="22"/>
                <w:lang w:val="en-US"/>
              </w:rPr>
              <w:t>, see indicators 3.1.4</w:t>
            </w:r>
          </w:p>
          <w:p w14:paraId="1CFFC32A" w14:textId="77777777" w:rsidR="00AB3CEB" w:rsidRPr="00C44970" w:rsidRDefault="00AB3CEB" w:rsidP="00AB3CEB">
            <w:pPr>
              <w:rPr>
                <w:b/>
                <w:bCs/>
                <w:highlight w:val="lightGray"/>
                <w:lang w:val="en-US"/>
              </w:rPr>
            </w:pPr>
          </w:p>
        </w:tc>
      </w:tr>
      <w:tr w:rsidR="00AB3CEB" w:rsidRPr="00FA56CA" w14:paraId="0E9631A4" w14:textId="77777777" w:rsidTr="00E47D8F">
        <w:tc>
          <w:tcPr>
            <w:tcW w:w="15304" w:type="dxa"/>
          </w:tcPr>
          <w:p w14:paraId="59D4C496" w14:textId="7B93A9B0" w:rsidR="00AB3CEB" w:rsidRPr="00C44970" w:rsidRDefault="00AB3CEB" w:rsidP="00AB3CEB">
            <w:pPr>
              <w:pStyle w:val="Default"/>
              <w:rPr>
                <w:rFonts w:asciiTheme="minorHAnsi" w:hAnsiTheme="minorHAnsi"/>
                <w:bCs/>
                <w:sz w:val="22"/>
                <w:szCs w:val="22"/>
                <w:lang w:val="en-US"/>
              </w:rPr>
            </w:pPr>
            <w:r w:rsidRPr="00C44970">
              <w:rPr>
                <w:rFonts w:asciiTheme="minorHAnsi" w:hAnsiTheme="minorHAnsi"/>
                <w:b/>
                <w:bCs/>
                <w:sz w:val="22"/>
                <w:szCs w:val="22"/>
                <w:lang w:val="en-US"/>
              </w:rPr>
              <w:t xml:space="preserve">Methodology: </w:t>
            </w:r>
            <w:r w:rsidRPr="00C44970">
              <w:rPr>
                <w:rFonts w:asciiTheme="minorHAnsi" w:hAnsiTheme="minorHAnsi"/>
                <w:bCs/>
                <w:sz w:val="22"/>
                <w:szCs w:val="22"/>
                <w:lang w:val="en-US"/>
              </w:rPr>
              <w:t>Reported annu</w:t>
            </w:r>
            <w:r w:rsidR="00B33ECB">
              <w:rPr>
                <w:rFonts w:asciiTheme="minorHAnsi" w:hAnsiTheme="minorHAnsi"/>
                <w:bCs/>
                <w:sz w:val="22"/>
                <w:szCs w:val="22"/>
                <w:lang w:val="en-US"/>
              </w:rPr>
              <w:t>ally and includes all children/</w:t>
            </w:r>
            <w:r w:rsidRPr="00C44970">
              <w:rPr>
                <w:rFonts w:asciiTheme="minorHAnsi" w:hAnsiTheme="minorHAnsi"/>
                <w:bCs/>
                <w:sz w:val="22"/>
                <w:szCs w:val="22"/>
                <w:lang w:val="en-US"/>
              </w:rPr>
              <w:t>adolescents</w:t>
            </w:r>
            <w:r w:rsidR="00B33ECB">
              <w:rPr>
                <w:rFonts w:asciiTheme="minorHAnsi" w:hAnsiTheme="minorHAnsi"/>
                <w:bCs/>
                <w:sz w:val="22"/>
                <w:szCs w:val="22"/>
                <w:lang w:val="en-US"/>
              </w:rPr>
              <w:t>/students</w:t>
            </w:r>
            <w:r w:rsidRPr="00C44970">
              <w:rPr>
                <w:rFonts w:asciiTheme="minorHAnsi" w:hAnsiTheme="minorHAnsi"/>
                <w:bCs/>
                <w:sz w:val="22"/>
                <w:szCs w:val="22"/>
                <w:lang w:val="en-US"/>
              </w:rPr>
              <w:t xml:space="preserve"> in receipt of financial support during th</w:t>
            </w:r>
            <w:r w:rsidR="00F52F58">
              <w:rPr>
                <w:rFonts w:asciiTheme="minorHAnsi" w:hAnsiTheme="minorHAnsi"/>
                <w:bCs/>
                <w:sz w:val="22"/>
                <w:szCs w:val="22"/>
                <w:lang w:val="en-US"/>
              </w:rPr>
              <w:t>e reporting school year</w:t>
            </w:r>
            <w:r w:rsidRPr="00C44970">
              <w:rPr>
                <w:rFonts w:asciiTheme="minorHAnsi" w:hAnsiTheme="minorHAnsi"/>
                <w:bCs/>
                <w:sz w:val="22"/>
                <w:szCs w:val="22"/>
                <w:lang w:val="en-US"/>
              </w:rPr>
              <w:t xml:space="preserve"> (i.e. aggregates for this indicators over multiple years gives number of student-years supported financially, rather than number of individual children supported. This enables different schemes of different lengths to be aggregated and compared)</w:t>
            </w:r>
            <w:r w:rsidR="00F52F58">
              <w:rPr>
                <w:rFonts w:asciiTheme="minorHAnsi" w:hAnsiTheme="minorHAnsi"/>
                <w:bCs/>
                <w:sz w:val="22"/>
                <w:szCs w:val="22"/>
                <w:lang w:val="en-US"/>
              </w:rPr>
              <w:t>.</w:t>
            </w:r>
          </w:p>
          <w:p w14:paraId="52868B2D" w14:textId="18D47213" w:rsidR="00B33ECB" w:rsidRPr="00C44970" w:rsidRDefault="00B33ECB" w:rsidP="00F52F58">
            <w:pPr>
              <w:pStyle w:val="Default"/>
              <w:rPr>
                <w:rFonts w:asciiTheme="minorHAnsi" w:hAnsiTheme="minorHAnsi"/>
                <w:sz w:val="22"/>
                <w:szCs w:val="22"/>
                <w:lang w:val="en-US"/>
              </w:rPr>
            </w:pPr>
          </w:p>
        </w:tc>
      </w:tr>
      <w:tr w:rsidR="00F52F58" w:rsidRPr="00FA56CA" w14:paraId="7A2E87BA" w14:textId="77777777" w:rsidTr="00576D29">
        <w:tc>
          <w:tcPr>
            <w:tcW w:w="15304" w:type="dxa"/>
            <w:tcBorders>
              <w:bottom w:val="single" w:sz="6" w:space="0" w:color="auto"/>
            </w:tcBorders>
          </w:tcPr>
          <w:p w14:paraId="33119427" w14:textId="77777777" w:rsidR="00F52F58" w:rsidRDefault="00F52F58" w:rsidP="00F52F58">
            <w:pPr>
              <w:pStyle w:val="Default"/>
              <w:rPr>
                <w:rFonts w:asciiTheme="minorHAnsi" w:hAnsiTheme="minorHAnsi"/>
                <w:bCs/>
                <w:sz w:val="22"/>
                <w:szCs w:val="22"/>
                <w:lang w:val="en-US"/>
              </w:rPr>
            </w:pPr>
            <w:r>
              <w:rPr>
                <w:rFonts w:asciiTheme="minorHAnsi" w:hAnsiTheme="minorHAnsi"/>
                <w:b/>
                <w:bCs/>
                <w:sz w:val="22"/>
                <w:szCs w:val="22"/>
                <w:lang w:val="en-US"/>
              </w:rPr>
              <w:t xml:space="preserve">Type of indicator: </w:t>
            </w:r>
            <w:r>
              <w:rPr>
                <w:rFonts w:asciiTheme="minorHAnsi" w:hAnsiTheme="minorHAnsi"/>
                <w:bCs/>
                <w:sz w:val="22"/>
                <w:szCs w:val="22"/>
                <w:lang w:val="en-US"/>
              </w:rPr>
              <w:t xml:space="preserve">Output, not </w:t>
            </w:r>
            <w:r w:rsidRPr="00752B57">
              <w:rPr>
                <w:rFonts w:asciiTheme="minorHAnsi" w:hAnsiTheme="minorHAnsi"/>
                <w:bCs/>
                <w:sz w:val="22"/>
                <w:szCs w:val="22"/>
                <w:lang w:val="en-US"/>
              </w:rPr>
              <w:t>cumulative</w:t>
            </w:r>
          </w:p>
          <w:p w14:paraId="3AF23D82" w14:textId="30AE8ADA" w:rsidR="00F52F58" w:rsidRPr="00C44970" w:rsidRDefault="00F52F58" w:rsidP="00F52F58">
            <w:pPr>
              <w:pStyle w:val="Default"/>
              <w:rPr>
                <w:rFonts w:asciiTheme="minorHAnsi" w:hAnsiTheme="minorHAnsi"/>
                <w:b/>
                <w:bCs/>
                <w:sz w:val="22"/>
                <w:szCs w:val="22"/>
                <w:lang w:val="en-US"/>
              </w:rPr>
            </w:pPr>
          </w:p>
        </w:tc>
      </w:tr>
    </w:tbl>
    <w:tbl>
      <w:tblPr>
        <w:tblW w:w="15304"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5304"/>
      </w:tblGrid>
      <w:tr w:rsidR="00E47D8F" w:rsidRPr="00FA56CA" w14:paraId="728318B0" w14:textId="77777777" w:rsidTr="00576D29">
        <w:trPr>
          <w:trHeight w:val="584"/>
        </w:trPr>
        <w:tc>
          <w:tcPr>
            <w:tcW w:w="15304" w:type="dxa"/>
            <w:tcBorders>
              <w:bottom w:val="single" w:sz="6" w:space="0" w:color="auto"/>
            </w:tcBorders>
            <w:shd w:val="clear" w:color="auto" w:fill="F4B083" w:themeFill="accent2" w:themeFillTint="99"/>
            <w:vAlign w:val="center"/>
          </w:tcPr>
          <w:p w14:paraId="70511AEE" w14:textId="77777777" w:rsidR="00E47D8F" w:rsidRPr="00576D29" w:rsidRDefault="00E47D8F" w:rsidP="00E47D8F">
            <w:pPr>
              <w:spacing w:after="0" w:line="240" w:lineRule="auto"/>
              <w:rPr>
                <w:rFonts w:eastAsia="Times New Roman" w:cs="Times New Roman"/>
                <w:lang w:val="en-GB" w:eastAsia="en-GB" w:bidi="ar-SA"/>
              </w:rPr>
            </w:pPr>
            <w:r w:rsidRPr="00576D29">
              <w:rPr>
                <w:rFonts w:eastAsia="Times New Roman" w:cs="Times New Roman"/>
                <w:b/>
                <w:bCs/>
                <w:lang w:val="en-GB" w:eastAsia="en-GB" w:bidi="ar-SA"/>
              </w:rPr>
              <w:t xml:space="preserve">Programme objective 2: </w:t>
            </w:r>
            <w:r w:rsidRPr="00576D29">
              <w:rPr>
                <w:rFonts w:eastAsia="Times New Roman" w:cs="Times New Roman"/>
                <w:lang w:val="en-GB" w:eastAsia="en-GB" w:bidi="ar-SA"/>
              </w:rPr>
              <w:t>All children and young people learn basic skills and are equipped to tackle adult life</w:t>
            </w:r>
          </w:p>
        </w:tc>
      </w:tr>
      <w:tr w:rsidR="00E47D8F" w:rsidRPr="00FA56CA" w14:paraId="6B3763F6" w14:textId="77777777" w:rsidTr="00576D29">
        <w:trPr>
          <w:trHeight w:val="692"/>
        </w:trPr>
        <w:tc>
          <w:tcPr>
            <w:tcW w:w="15304" w:type="dxa"/>
            <w:tcBorders>
              <w:top w:val="single" w:sz="6" w:space="0" w:color="auto"/>
              <w:bottom w:val="single" w:sz="6" w:space="0" w:color="auto"/>
            </w:tcBorders>
            <w:shd w:val="clear" w:color="auto" w:fill="A8D08D" w:themeFill="accent6" w:themeFillTint="99"/>
            <w:vAlign w:val="center"/>
            <w:hideMark/>
          </w:tcPr>
          <w:p w14:paraId="2A571E6F" w14:textId="2167B337" w:rsidR="00F52F58" w:rsidRPr="00C44970" w:rsidRDefault="00462AEE" w:rsidP="00FF4181">
            <w:pPr>
              <w:spacing w:after="0" w:line="240" w:lineRule="auto"/>
              <w:rPr>
                <w:rFonts w:eastAsia="Times New Roman" w:cs="Times New Roman"/>
                <w:color w:val="000000"/>
                <w:lang w:val="en-GB" w:eastAsia="en-GB" w:bidi="ar-SA"/>
              </w:rPr>
            </w:pPr>
            <w:r>
              <w:rPr>
                <w:rFonts w:eastAsia="Times New Roman" w:cs="Times New Roman"/>
                <w:color w:val="000000"/>
                <w:lang w:val="en-US" w:eastAsia="en-GB" w:bidi="ar-SA"/>
              </w:rPr>
              <w:t xml:space="preserve">Indicator </w:t>
            </w:r>
            <w:r w:rsidR="00F52F58" w:rsidRPr="00F52F58">
              <w:rPr>
                <w:rFonts w:eastAsia="Times New Roman" w:cs="Times New Roman"/>
                <w:color w:val="000000"/>
                <w:lang w:val="en-GB" w:eastAsia="en-GB" w:bidi="ar-SA"/>
              </w:rPr>
              <w:t xml:space="preserve">2.1: % and # of students in </w:t>
            </w:r>
            <w:r>
              <w:rPr>
                <w:rFonts w:eastAsia="Times New Roman" w:cs="Times New Roman"/>
                <w:color w:val="000000"/>
                <w:lang w:val="en-GB" w:eastAsia="en-GB" w:bidi="ar-SA"/>
              </w:rPr>
              <w:t>target</w:t>
            </w:r>
            <w:r w:rsidR="00F52F58" w:rsidRPr="00F52F58">
              <w:rPr>
                <w:rFonts w:eastAsia="Times New Roman" w:cs="Times New Roman"/>
                <w:color w:val="000000"/>
                <w:lang w:val="en-GB" w:eastAsia="en-GB" w:bidi="ar-SA"/>
              </w:rPr>
              <w:t xml:space="preserve"> educational institutions achieving minimum proficiency level in reading/mathematics/other subject </w:t>
            </w:r>
            <w:r w:rsidR="00FF4181">
              <w:rPr>
                <w:rFonts w:eastAsia="Times New Roman" w:cs="Times New Roman"/>
                <w:color w:val="000000"/>
                <w:lang w:val="en-GB" w:eastAsia="en-GB" w:bidi="ar-SA"/>
              </w:rPr>
              <w:t>i</w:t>
            </w:r>
            <w:r w:rsidR="00F52F58" w:rsidRPr="00F52F58">
              <w:rPr>
                <w:rFonts w:eastAsia="Times New Roman" w:cs="Times New Roman"/>
                <w:color w:val="000000"/>
                <w:lang w:val="en-GB" w:eastAsia="en-GB" w:bidi="ar-SA"/>
              </w:rPr>
              <w:t xml:space="preserve">n grade x </w:t>
            </w:r>
            <w:r w:rsidR="00FF4181">
              <w:rPr>
                <w:lang w:val="en-US"/>
              </w:rPr>
              <w:t>(sex, type of marginalization (if available)</w:t>
            </w:r>
          </w:p>
        </w:tc>
      </w:tr>
      <w:tr w:rsidR="00E47D8F" w:rsidRPr="00FA56CA" w14:paraId="62BE3B07" w14:textId="77777777" w:rsidTr="00576D29">
        <w:trPr>
          <w:trHeight w:val="607"/>
        </w:trPr>
        <w:tc>
          <w:tcPr>
            <w:tcW w:w="15304" w:type="dxa"/>
            <w:tcBorders>
              <w:top w:val="single" w:sz="6" w:space="0" w:color="auto"/>
            </w:tcBorders>
            <w:shd w:val="clear" w:color="auto" w:fill="auto"/>
          </w:tcPr>
          <w:p w14:paraId="71DCD91F" w14:textId="28B205E3" w:rsidR="00462AEE" w:rsidRDefault="00462AEE" w:rsidP="00E47D8F">
            <w:pPr>
              <w:pStyle w:val="Default"/>
              <w:rPr>
                <w:rFonts w:asciiTheme="minorHAnsi" w:hAnsiTheme="minorHAnsi"/>
                <w:b/>
                <w:bCs/>
                <w:sz w:val="22"/>
                <w:szCs w:val="22"/>
                <w:lang w:val="en-US"/>
              </w:rPr>
            </w:pPr>
            <w:r>
              <w:rPr>
                <w:rFonts w:asciiTheme="minorHAnsi" w:hAnsiTheme="minorHAnsi"/>
                <w:b/>
                <w:bCs/>
                <w:sz w:val="22"/>
                <w:szCs w:val="22"/>
                <w:lang w:val="en-US"/>
              </w:rPr>
              <w:t>Proportion and number of students in a chosen grade in supported educational institutions that achieve a minimum proficiency in a subject identified by programme/project.</w:t>
            </w:r>
          </w:p>
          <w:p w14:paraId="5098978D" w14:textId="7F0D1B2E" w:rsidR="00462AEE" w:rsidRDefault="00462AEE" w:rsidP="00E47D8F">
            <w:pPr>
              <w:pStyle w:val="Default"/>
              <w:rPr>
                <w:rFonts w:asciiTheme="minorHAnsi" w:hAnsiTheme="minorHAnsi"/>
                <w:b/>
                <w:bCs/>
                <w:sz w:val="22"/>
                <w:szCs w:val="22"/>
                <w:lang w:val="en-US"/>
              </w:rPr>
            </w:pPr>
          </w:p>
          <w:p w14:paraId="34D8A36E" w14:textId="74F1FDB6" w:rsidR="00462AEE" w:rsidRDefault="00462AEE" w:rsidP="00E47D8F">
            <w:pPr>
              <w:pStyle w:val="Default"/>
              <w:rPr>
                <w:rFonts w:asciiTheme="minorHAnsi" w:hAnsiTheme="minorHAnsi"/>
                <w:b/>
                <w:bCs/>
                <w:sz w:val="22"/>
                <w:szCs w:val="22"/>
                <w:lang w:val="en-US"/>
              </w:rPr>
            </w:pPr>
            <w:r>
              <w:rPr>
                <w:rFonts w:asciiTheme="minorHAnsi" w:hAnsiTheme="minorHAnsi"/>
                <w:b/>
                <w:bCs/>
                <w:sz w:val="22"/>
                <w:szCs w:val="22"/>
                <w:lang w:val="en-US"/>
              </w:rPr>
              <w:t xml:space="preserve">Definitions: </w:t>
            </w:r>
          </w:p>
          <w:p w14:paraId="029F1A7E" w14:textId="143E1845" w:rsidR="00462AEE" w:rsidRDefault="00462AEE" w:rsidP="00E47D8F">
            <w:pPr>
              <w:pStyle w:val="Default"/>
              <w:rPr>
                <w:rFonts w:asciiTheme="minorHAnsi" w:hAnsiTheme="minorHAnsi"/>
                <w:bCs/>
                <w:sz w:val="22"/>
                <w:szCs w:val="22"/>
                <w:lang w:val="en-US"/>
              </w:rPr>
            </w:pPr>
            <w:r>
              <w:rPr>
                <w:rFonts w:asciiTheme="minorHAnsi" w:hAnsiTheme="minorHAnsi"/>
                <w:b/>
                <w:bCs/>
                <w:sz w:val="22"/>
                <w:szCs w:val="22"/>
                <w:lang w:val="en-US"/>
              </w:rPr>
              <w:t xml:space="preserve">Grade: </w:t>
            </w:r>
            <w:r w:rsidRPr="00462AEE">
              <w:rPr>
                <w:rFonts w:asciiTheme="minorHAnsi" w:hAnsiTheme="minorHAnsi"/>
                <w:bCs/>
                <w:sz w:val="22"/>
                <w:szCs w:val="22"/>
                <w:lang w:val="en-US"/>
              </w:rPr>
              <w:t>Partners can choose to test students at the grade/leve</w:t>
            </w:r>
            <w:r w:rsidR="00A654AD">
              <w:rPr>
                <w:rFonts w:asciiTheme="minorHAnsi" w:hAnsiTheme="minorHAnsi"/>
                <w:bCs/>
                <w:sz w:val="22"/>
                <w:szCs w:val="22"/>
                <w:lang w:val="en-US"/>
              </w:rPr>
              <w:t>l that is preferred by</w:t>
            </w:r>
            <w:r w:rsidRPr="00462AEE">
              <w:rPr>
                <w:rFonts w:asciiTheme="minorHAnsi" w:hAnsiTheme="minorHAnsi"/>
                <w:bCs/>
                <w:sz w:val="22"/>
                <w:szCs w:val="22"/>
                <w:lang w:val="en-US"/>
              </w:rPr>
              <w:t xml:space="preserve"> government and/or that is deemed most useful to inform programme implementation. </w:t>
            </w:r>
          </w:p>
          <w:p w14:paraId="72E4E3DE" w14:textId="2DCB2462" w:rsidR="00A654AD" w:rsidRDefault="00462AEE" w:rsidP="00A654AD">
            <w:pPr>
              <w:pStyle w:val="Default"/>
              <w:rPr>
                <w:rFonts w:asciiTheme="minorHAnsi" w:hAnsiTheme="minorHAnsi"/>
                <w:bCs/>
                <w:sz w:val="22"/>
                <w:szCs w:val="22"/>
                <w:lang w:val="en-US"/>
              </w:rPr>
            </w:pPr>
            <w:r w:rsidRPr="00A654AD">
              <w:rPr>
                <w:rFonts w:asciiTheme="minorHAnsi" w:hAnsiTheme="minorHAnsi"/>
                <w:b/>
                <w:bCs/>
                <w:sz w:val="22"/>
                <w:szCs w:val="22"/>
                <w:lang w:val="en-US"/>
              </w:rPr>
              <w:t>Subject:</w:t>
            </w:r>
            <w:r>
              <w:rPr>
                <w:rFonts w:asciiTheme="minorHAnsi" w:hAnsiTheme="minorHAnsi"/>
                <w:bCs/>
                <w:sz w:val="22"/>
                <w:szCs w:val="22"/>
                <w:lang w:val="en-US"/>
              </w:rPr>
              <w:t xml:space="preserve"> </w:t>
            </w:r>
            <w:r w:rsidR="00A654AD" w:rsidRPr="00462AEE">
              <w:rPr>
                <w:rFonts w:asciiTheme="minorHAnsi" w:hAnsiTheme="minorHAnsi"/>
                <w:bCs/>
                <w:sz w:val="22"/>
                <w:szCs w:val="22"/>
                <w:lang w:val="en-US"/>
              </w:rPr>
              <w:t xml:space="preserve">Partners can choose </w:t>
            </w:r>
            <w:r w:rsidR="00A654AD">
              <w:rPr>
                <w:rFonts w:asciiTheme="minorHAnsi" w:hAnsiTheme="minorHAnsi"/>
                <w:bCs/>
                <w:sz w:val="22"/>
                <w:szCs w:val="22"/>
                <w:lang w:val="en-US"/>
              </w:rPr>
              <w:t>subject that is preferred by</w:t>
            </w:r>
            <w:r w:rsidR="00A654AD" w:rsidRPr="00462AEE">
              <w:rPr>
                <w:rFonts w:asciiTheme="minorHAnsi" w:hAnsiTheme="minorHAnsi"/>
                <w:bCs/>
                <w:sz w:val="22"/>
                <w:szCs w:val="22"/>
                <w:lang w:val="en-US"/>
              </w:rPr>
              <w:t xml:space="preserve"> government and/or that is deemed most useful to inform programme implementation. </w:t>
            </w:r>
          </w:p>
          <w:p w14:paraId="4702B3D3" w14:textId="338B2BA4" w:rsidR="00E47D8F" w:rsidRPr="00C44970" w:rsidRDefault="00A654AD" w:rsidP="00E47D8F">
            <w:pPr>
              <w:pStyle w:val="Default"/>
              <w:rPr>
                <w:rFonts w:asciiTheme="minorHAnsi" w:hAnsiTheme="minorHAnsi"/>
                <w:b/>
                <w:bCs/>
                <w:sz w:val="22"/>
                <w:szCs w:val="22"/>
                <w:lang w:val="en-US"/>
              </w:rPr>
            </w:pPr>
            <w:r>
              <w:rPr>
                <w:rFonts w:asciiTheme="minorHAnsi" w:hAnsiTheme="minorHAnsi"/>
                <w:b/>
                <w:bCs/>
                <w:sz w:val="22"/>
                <w:szCs w:val="22"/>
                <w:lang w:val="en-US"/>
              </w:rPr>
              <w:t xml:space="preserve">Minimum proficiency: </w:t>
            </w:r>
            <w:r w:rsidRPr="00A654AD">
              <w:rPr>
                <w:rFonts w:asciiTheme="minorHAnsi" w:hAnsiTheme="minorHAnsi"/>
                <w:bCs/>
                <w:sz w:val="22"/>
                <w:szCs w:val="22"/>
                <w:lang w:val="en-US"/>
              </w:rPr>
              <w:t xml:space="preserve">Should </w:t>
            </w:r>
            <w:r w:rsidR="00E47D8F" w:rsidRPr="00C44970">
              <w:rPr>
                <w:rFonts w:asciiTheme="minorHAnsi" w:eastAsia="Times New Roman" w:hAnsiTheme="minorHAnsi" w:cs="Times New Roman"/>
                <w:sz w:val="22"/>
                <w:szCs w:val="22"/>
                <w:lang w:val="en-GB" w:eastAsia="en-GB" w:bidi="ar-SA"/>
              </w:rPr>
              <w:t>be based on national standards for th</w:t>
            </w:r>
            <w:r w:rsidR="00E47D8F">
              <w:rPr>
                <w:rFonts w:asciiTheme="minorHAnsi" w:eastAsia="Times New Roman" w:hAnsiTheme="minorHAnsi" w:cs="Times New Roman"/>
                <w:sz w:val="22"/>
                <w:szCs w:val="22"/>
                <w:lang w:val="en-GB" w:eastAsia="en-GB" w:bidi="ar-SA"/>
              </w:rPr>
              <w:t>e</w:t>
            </w:r>
            <w:r w:rsidR="00E47D8F" w:rsidRPr="00C44970">
              <w:rPr>
                <w:rFonts w:asciiTheme="minorHAnsi" w:eastAsia="Times New Roman" w:hAnsiTheme="minorHAnsi" w:cs="Times New Roman"/>
                <w:sz w:val="22"/>
                <w:szCs w:val="22"/>
                <w:lang w:val="en-GB" w:eastAsia="en-GB" w:bidi="ar-SA"/>
              </w:rPr>
              <w:t xml:space="preserve"> grade</w:t>
            </w:r>
            <w:r w:rsidR="00E47D8F">
              <w:rPr>
                <w:rFonts w:asciiTheme="minorHAnsi" w:eastAsia="Times New Roman" w:hAnsiTheme="minorHAnsi" w:cs="Times New Roman"/>
                <w:sz w:val="22"/>
                <w:szCs w:val="22"/>
                <w:lang w:val="en-GB" w:eastAsia="en-GB" w:bidi="ar-SA"/>
              </w:rPr>
              <w:t xml:space="preserve"> assessed</w:t>
            </w:r>
          </w:p>
          <w:p w14:paraId="4F447CCA" w14:textId="711A521D" w:rsidR="00A654AD" w:rsidRDefault="00A654AD" w:rsidP="00E47D8F">
            <w:pPr>
              <w:spacing w:after="0" w:line="240" w:lineRule="auto"/>
              <w:rPr>
                <w:b/>
                <w:bCs/>
                <w:lang w:val="en-US"/>
              </w:rPr>
            </w:pPr>
          </w:p>
          <w:p w14:paraId="19CD23CA" w14:textId="4D906241" w:rsidR="00A654AD" w:rsidRDefault="00A654AD" w:rsidP="00E47D8F">
            <w:pPr>
              <w:spacing w:after="0" w:line="240" w:lineRule="auto"/>
              <w:rPr>
                <w:b/>
                <w:bCs/>
                <w:lang w:val="en-US"/>
              </w:rPr>
            </w:pPr>
            <w:r>
              <w:rPr>
                <w:b/>
                <w:bCs/>
                <w:lang w:val="en-US"/>
              </w:rPr>
              <w:t xml:space="preserve">Numerator: </w:t>
            </w:r>
            <w:r w:rsidRPr="00A654AD">
              <w:rPr>
                <w:bCs/>
                <w:lang w:val="en-US"/>
              </w:rPr>
              <w:t>Number of students in target grade that reached minimum proficiency threshold in subject x</w:t>
            </w:r>
          </w:p>
          <w:p w14:paraId="4DB98F60" w14:textId="7E21C9A8" w:rsidR="00E47D8F" w:rsidRPr="00C44970" w:rsidRDefault="00E47D8F" w:rsidP="00A654AD">
            <w:pPr>
              <w:spacing w:after="0" w:line="240" w:lineRule="auto"/>
              <w:rPr>
                <w:rFonts w:eastAsia="Times New Roman" w:cs="Times New Roman"/>
                <w:color w:val="000000"/>
                <w:lang w:val="en-GB" w:eastAsia="en-GB" w:bidi="ar-SA"/>
              </w:rPr>
            </w:pPr>
            <w:r w:rsidRPr="00C44970">
              <w:rPr>
                <w:b/>
                <w:bCs/>
                <w:lang w:val="en-US"/>
              </w:rPr>
              <w:t xml:space="preserve">Denominator: </w:t>
            </w:r>
            <w:r w:rsidR="00A654AD" w:rsidRPr="00A654AD">
              <w:rPr>
                <w:bCs/>
                <w:lang w:val="en-US"/>
              </w:rPr>
              <w:t>Total or sampled number of students assessed in target grade on subject x</w:t>
            </w:r>
            <w:r w:rsidRPr="00A654AD">
              <w:rPr>
                <w:bCs/>
                <w:lang w:val="en-US"/>
              </w:rPr>
              <w:t>.</w:t>
            </w:r>
          </w:p>
        </w:tc>
      </w:tr>
      <w:tr w:rsidR="00E47D8F" w:rsidRPr="00FA56CA" w14:paraId="330370CB" w14:textId="77777777" w:rsidTr="00576D29">
        <w:trPr>
          <w:trHeight w:val="1380"/>
        </w:trPr>
        <w:tc>
          <w:tcPr>
            <w:tcW w:w="15304" w:type="dxa"/>
            <w:shd w:val="clear" w:color="auto" w:fill="auto"/>
          </w:tcPr>
          <w:p w14:paraId="4A826ABB" w14:textId="77777777" w:rsidR="00462AEE" w:rsidRDefault="00E47D8F" w:rsidP="00E47D8F">
            <w:pPr>
              <w:pStyle w:val="Default"/>
              <w:rPr>
                <w:rFonts w:asciiTheme="minorHAnsi" w:hAnsiTheme="minorHAnsi"/>
                <w:b/>
                <w:bCs/>
                <w:sz w:val="22"/>
                <w:szCs w:val="22"/>
                <w:lang w:val="en-US"/>
              </w:rPr>
            </w:pPr>
            <w:r w:rsidRPr="00C44970">
              <w:rPr>
                <w:rFonts w:asciiTheme="minorHAnsi" w:hAnsiTheme="minorHAnsi"/>
                <w:b/>
                <w:bCs/>
                <w:sz w:val="22"/>
                <w:szCs w:val="22"/>
                <w:lang w:val="en-US"/>
              </w:rPr>
              <w:t xml:space="preserve">Methodology: </w:t>
            </w:r>
          </w:p>
          <w:p w14:paraId="4B407039" w14:textId="77777777" w:rsidR="00A654AD" w:rsidRDefault="00A654AD" w:rsidP="00E47D8F">
            <w:pPr>
              <w:pStyle w:val="Default"/>
              <w:rPr>
                <w:rFonts w:asciiTheme="minorHAnsi" w:hAnsiTheme="minorHAnsi"/>
                <w:bCs/>
                <w:sz w:val="22"/>
                <w:szCs w:val="22"/>
                <w:lang w:val="en-US"/>
              </w:rPr>
            </w:pPr>
            <w:r>
              <w:rPr>
                <w:rFonts w:asciiTheme="minorHAnsi" w:hAnsiTheme="minorHAnsi"/>
                <w:bCs/>
                <w:sz w:val="22"/>
                <w:szCs w:val="22"/>
                <w:lang w:val="en-US"/>
              </w:rPr>
              <w:t xml:space="preserve">Test can </w:t>
            </w:r>
            <w:r w:rsidR="00E47D8F" w:rsidRPr="00C44970">
              <w:rPr>
                <w:rFonts w:asciiTheme="minorHAnsi" w:hAnsiTheme="minorHAnsi"/>
                <w:bCs/>
                <w:sz w:val="22"/>
                <w:szCs w:val="22"/>
                <w:lang w:val="en-US"/>
              </w:rPr>
              <w:t xml:space="preserve">be </w:t>
            </w:r>
            <w:r>
              <w:rPr>
                <w:rFonts w:asciiTheme="minorHAnsi" w:hAnsiTheme="minorHAnsi"/>
                <w:bCs/>
                <w:sz w:val="22"/>
                <w:szCs w:val="22"/>
                <w:lang w:val="en-US"/>
              </w:rPr>
              <w:t xml:space="preserve">done </w:t>
            </w:r>
            <w:r w:rsidR="00E47D8F" w:rsidRPr="00C44970">
              <w:rPr>
                <w:rFonts w:asciiTheme="minorHAnsi" w:hAnsiTheme="minorHAnsi"/>
                <w:bCs/>
                <w:sz w:val="22"/>
                <w:szCs w:val="22"/>
                <w:lang w:val="en-US"/>
              </w:rPr>
              <w:t>through sample assessment</w:t>
            </w:r>
            <w:r>
              <w:rPr>
                <w:rFonts w:asciiTheme="minorHAnsi" w:hAnsiTheme="minorHAnsi"/>
                <w:bCs/>
                <w:sz w:val="22"/>
                <w:szCs w:val="22"/>
                <w:lang w:val="en-US"/>
              </w:rPr>
              <w:t xml:space="preserve"> (preferably randomized)</w:t>
            </w:r>
            <w:r w:rsidR="00E47D8F" w:rsidRPr="00C44970">
              <w:rPr>
                <w:rFonts w:asciiTheme="minorHAnsi" w:hAnsiTheme="minorHAnsi"/>
                <w:bCs/>
                <w:sz w:val="22"/>
                <w:szCs w:val="22"/>
                <w:lang w:val="en-US"/>
              </w:rPr>
              <w:t xml:space="preserve"> or assessment of all students. </w:t>
            </w:r>
          </w:p>
          <w:p w14:paraId="1107B7E2" w14:textId="77777777" w:rsidR="00E47D8F" w:rsidRDefault="00A654AD" w:rsidP="00A654AD">
            <w:pPr>
              <w:pStyle w:val="Default"/>
              <w:rPr>
                <w:rFonts w:asciiTheme="minorHAnsi" w:hAnsiTheme="minorHAnsi"/>
                <w:bCs/>
                <w:sz w:val="22"/>
                <w:szCs w:val="22"/>
                <w:lang w:val="en-US"/>
              </w:rPr>
            </w:pPr>
            <w:r>
              <w:rPr>
                <w:rFonts w:asciiTheme="minorHAnsi" w:hAnsiTheme="minorHAnsi"/>
                <w:bCs/>
                <w:sz w:val="22"/>
                <w:szCs w:val="22"/>
                <w:lang w:val="en-US"/>
              </w:rPr>
              <w:t xml:space="preserve">Ideally </w:t>
            </w:r>
            <w:r w:rsidR="00E47D8F" w:rsidRPr="00C44970">
              <w:rPr>
                <w:rFonts w:asciiTheme="minorHAnsi" w:hAnsiTheme="minorHAnsi"/>
                <w:bCs/>
                <w:sz w:val="22"/>
                <w:szCs w:val="22"/>
                <w:lang w:val="en-US"/>
              </w:rPr>
              <w:t xml:space="preserve">national </w:t>
            </w:r>
            <w:r>
              <w:rPr>
                <w:rFonts w:asciiTheme="minorHAnsi" w:hAnsiTheme="minorHAnsi"/>
                <w:bCs/>
                <w:sz w:val="22"/>
                <w:szCs w:val="22"/>
                <w:lang w:val="en-US"/>
              </w:rPr>
              <w:t xml:space="preserve">or regional </w:t>
            </w:r>
            <w:r w:rsidR="00E47D8F" w:rsidRPr="00C44970">
              <w:rPr>
                <w:rFonts w:asciiTheme="minorHAnsi" w:hAnsiTheme="minorHAnsi"/>
                <w:bCs/>
                <w:sz w:val="22"/>
                <w:szCs w:val="22"/>
                <w:lang w:val="en-US"/>
              </w:rPr>
              <w:t>assessments tests</w:t>
            </w:r>
            <w:r>
              <w:rPr>
                <w:rFonts w:asciiTheme="minorHAnsi" w:hAnsiTheme="minorHAnsi"/>
                <w:bCs/>
                <w:sz w:val="22"/>
                <w:szCs w:val="22"/>
                <w:lang w:val="en-US"/>
              </w:rPr>
              <w:t xml:space="preserve">, exams results, or specific </w:t>
            </w:r>
            <w:r w:rsidR="00E47D8F">
              <w:rPr>
                <w:rFonts w:asciiTheme="minorHAnsi" w:hAnsiTheme="minorHAnsi"/>
                <w:bCs/>
                <w:sz w:val="22"/>
                <w:szCs w:val="22"/>
                <w:lang w:val="en-US"/>
              </w:rPr>
              <w:t>secondary assessment data</w:t>
            </w:r>
            <w:r w:rsidR="00E47D8F" w:rsidRPr="00C44970">
              <w:rPr>
                <w:rFonts w:asciiTheme="minorHAnsi" w:hAnsiTheme="minorHAnsi"/>
                <w:bCs/>
                <w:sz w:val="22"/>
                <w:szCs w:val="22"/>
                <w:lang w:val="en-US"/>
              </w:rPr>
              <w:t xml:space="preserve"> if national tests are not suitable for assessing reading </w:t>
            </w:r>
            <w:r>
              <w:rPr>
                <w:rFonts w:asciiTheme="minorHAnsi" w:hAnsiTheme="minorHAnsi"/>
                <w:bCs/>
                <w:sz w:val="22"/>
                <w:szCs w:val="22"/>
                <w:lang w:val="en-US"/>
              </w:rPr>
              <w:t xml:space="preserve">and mathematical proficiency. However, </w:t>
            </w:r>
            <w:r w:rsidR="00E47D8F" w:rsidRPr="00C44970">
              <w:rPr>
                <w:rFonts w:asciiTheme="minorHAnsi" w:hAnsiTheme="minorHAnsi"/>
                <w:bCs/>
                <w:sz w:val="22"/>
                <w:szCs w:val="22"/>
                <w:lang w:val="en-US"/>
              </w:rPr>
              <w:t>these</w:t>
            </w:r>
            <w:r>
              <w:rPr>
                <w:rFonts w:asciiTheme="minorHAnsi" w:hAnsiTheme="minorHAnsi"/>
                <w:bCs/>
                <w:sz w:val="22"/>
                <w:szCs w:val="22"/>
                <w:lang w:val="en-US"/>
              </w:rPr>
              <w:t xml:space="preserve"> tests</w:t>
            </w:r>
            <w:r w:rsidR="00E47D8F" w:rsidRPr="00C44970">
              <w:rPr>
                <w:rFonts w:asciiTheme="minorHAnsi" w:hAnsiTheme="minorHAnsi"/>
                <w:bCs/>
                <w:sz w:val="22"/>
                <w:szCs w:val="22"/>
                <w:lang w:val="en-US"/>
              </w:rPr>
              <w:t xml:space="preserve"> need to be aligned to the national curriculum and standards.</w:t>
            </w:r>
            <w:r w:rsidR="00E47D8F">
              <w:rPr>
                <w:rFonts w:asciiTheme="minorHAnsi" w:hAnsiTheme="minorHAnsi"/>
                <w:bCs/>
                <w:sz w:val="22"/>
                <w:szCs w:val="22"/>
                <w:lang w:val="en-US"/>
              </w:rPr>
              <w:t xml:space="preserve"> </w:t>
            </w:r>
          </w:p>
          <w:p w14:paraId="7E73940B" w14:textId="10753BC3" w:rsidR="00A654AD" w:rsidRPr="00C44970" w:rsidRDefault="00A654AD" w:rsidP="00A654AD">
            <w:pPr>
              <w:pStyle w:val="Default"/>
              <w:rPr>
                <w:rFonts w:eastAsia="Times New Roman" w:cs="Times New Roman"/>
                <w:lang w:val="en-GB" w:eastAsia="en-GB" w:bidi="ar-SA"/>
              </w:rPr>
            </w:pPr>
            <w:r>
              <w:rPr>
                <w:rFonts w:asciiTheme="minorHAnsi" w:hAnsiTheme="minorHAnsi"/>
                <w:bCs/>
                <w:sz w:val="22"/>
                <w:szCs w:val="22"/>
                <w:lang w:val="en-US"/>
              </w:rPr>
              <w:t xml:space="preserve">In emergency settings where the length of programmes are limited to 1-2 years simplified versions of the above listed means of verifications can be used. Partners are also encouraged to use their own adapted tests if government tests suitable for the context are not available. </w:t>
            </w:r>
          </w:p>
        </w:tc>
      </w:tr>
      <w:tr w:rsidR="00A654AD" w:rsidRPr="00FA56CA" w14:paraId="055F7CAF" w14:textId="77777777" w:rsidTr="00576D29">
        <w:trPr>
          <w:trHeight w:val="283"/>
        </w:trPr>
        <w:tc>
          <w:tcPr>
            <w:tcW w:w="15304" w:type="dxa"/>
            <w:tcBorders>
              <w:bottom w:val="single" w:sz="4" w:space="0" w:color="auto"/>
            </w:tcBorders>
            <w:shd w:val="clear" w:color="auto" w:fill="auto"/>
          </w:tcPr>
          <w:p w14:paraId="68A630E1" w14:textId="77777777" w:rsidR="00A654AD" w:rsidRDefault="00A654AD" w:rsidP="00E47D8F">
            <w:pPr>
              <w:pStyle w:val="Default"/>
              <w:rPr>
                <w:rFonts w:asciiTheme="minorHAnsi" w:hAnsiTheme="minorHAnsi"/>
                <w:bCs/>
                <w:sz w:val="22"/>
                <w:szCs w:val="22"/>
                <w:lang w:val="en-US"/>
              </w:rPr>
            </w:pPr>
            <w:r>
              <w:rPr>
                <w:rFonts w:asciiTheme="minorHAnsi" w:hAnsiTheme="minorHAnsi"/>
                <w:b/>
                <w:bCs/>
                <w:sz w:val="22"/>
                <w:szCs w:val="22"/>
                <w:lang w:val="en-US"/>
              </w:rPr>
              <w:t xml:space="preserve">Type of indicator: </w:t>
            </w:r>
            <w:r>
              <w:rPr>
                <w:rFonts w:asciiTheme="minorHAnsi" w:hAnsiTheme="minorHAnsi"/>
                <w:bCs/>
                <w:sz w:val="22"/>
                <w:szCs w:val="22"/>
                <w:lang w:val="en-US"/>
              </w:rPr>
              <w:t xml:space="preserve">Outcome, not </w:t>
            </w:r>
            <w:r w:rsidRPr="00752B57">
              <w:rPr>
                <w:rFonts w:asciiTheme="minorHAnsi" w:hAnsiTheme="minorHAnsi"/>
                <w:bCs/>
                <w:sz w:val="22"/>
                <w:szCs w:val="22"/>
                <w:lang w:val="en-US"/>
              </w:rPr>
              <w:t>cumulative</w:t>
            </w:r>
          </w:p>
          <w:p w14:paraId="5E9B42D3" w14:textId="04631841" w:rsidR="00FF4181" w:rsidRPr="00A654AD" w:rsidRDefault="00FF4181" w:rsidP="00E47D8F">
            <w:pPr>
              <w:pStyle w:val="Default"/>
              <w:rPr>
                <w:rFonts w:asciiTheme="minorHAnsi" w:hAnsiTheme="minorHAnsi"/>
                <w:bCs/>
                <w:sz w:val="22"/>
                <w:szCs w:val="22"/>
                <w:lang w:val="en-US"/>
              </w:rPr>
            </w:pPr>
          </w:p>
        </w:tc>
      </w:tr>
      <w:tr w:rsidR="00E47D8F" w:rsidRPr="00FA56CA" w14:paraId="260B12A6" w14:textId="77777777" w:rsidTr="00576D29">
        <w:trPr>
          <w:trHeight w:val="423"/>
        </w:trPr>
        <w:tc>
          <w:tcPr>
            <w:tcW w:w="15304"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27A2A7C6" w14:textId="77777777" w:rsidR="00E47D8F" w:rsidRPr="00C44970" w:rsidRDefault="00E47D8F" w:rsidP="00E47D8F">
            <w:pPr>
              <w:spacing w:after="0" w:line="240" w:lineRule="auto"/>
              <w:rPr>
                <w:rFonts w:eastAsia="Times New Roman" w:cs="Times New Roman"/>
                <w:color w:val="000000"/>
                <w:lang w:val="en-GB" w:eastAsia="en-GB" w:bidi="ar-SA"/>
              </w:rPr>
            </w:pPr>
            <w:r w:rsidRPr="00C44970">
              <w:rPr>
                <w:rFonts w:eastAsia="Times New Roman" w:cs="Times New Roman"/>
                <w:color w:val="000000"/>
                <w:lang w:val="en-GB" w:eastAsia="en-GB" w:bidi="ar-SA"/>
              </w:rPr>
              <w:t>Outcome 2.1: Schools have improved teaching and learning materials and methods</w:t>
            </w:r>
          </w:p>
        </w:tc>
      </w:tr>
      <w:tr w:rsidR="00E47D8F" w:rsidRPr="00BA69F6" w14:paraId="209A05D4" w14:textId="77777777" w:rsidTr="00576D29">
        <w:trPr>
          <w:trHeight w:val="397"/>
        </w:trPr>
        <w:tc>
          <w:tcPr>
            <w:tcW w:w="15304"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59D6CD97" w14:textId="6EA0013A" w:rsidR="00E47D8F" w:rsidRPr="00C44970" w:rsidRDefault="009D0730" w:rsidP="00FF4181">
            <w:pPr>
              <w:spacing w:after="0" w:line="240" w:lineRule="auto"/>
              <w:rPr>
                <w:rFonts w:eastAsia="Times New Roman" w:cs="Times New Roman"/>
                <w:color w:val="000000"/>
                <w:lang w:val="en-GB" w:eastAsia="en-GB" w:bidi="ar-SA"/>
              </w:rPr>
            </w:pPr>
            <w:r>
              <w:rPr>
                <w:rFonts w:eastAsia="Times New Roman" w:cs="Times New Roman"/>
                <w:color w:val="000000"/>
                <w:lang w:val="en-GB" w:eastAsia="en-GB" w:bidi="ar-SA"/>
              </w:rPr>
              <w:t xml:space="preserve">Indicator </w:t>
            </w:r>
            <w:r w:rsidR="00FF4181">
              <w:rPr>
                <w:rFonts w:eastAsia="Times New Roman" w:cs="Times New Roman"/>
                <w:color w:val="000000"/>
                <w:lang w:val="en-GB" w:eastAsia="en-GB" w:bidi="ar-SA"/>
              </w:rPr>
              <w:t>2.1.1</w:t>
            </w:r>
            <w:r w:rsidR="00E47D8F" w:rsidRPr="00C44970">
              <w:rPr>
                <w:rFonts w:eastAsia="Times New Roman" w:cs="Times New Roman"/>
                <w:color w:val="000000"/>
                <w:lang w:val="en-GB" w:eastAsia="en-GB" w:bidi="ar-SA"/>
              </w:rPr>
              <w:t xml:space="preserve">: # of textbooks provided to </w:t>
            </w:r>
            <w:r w:rsidR="00FF4181">
              <w:rPr>
                <w:rFonts w:eastAsia="Times New Roman" w:cs="Times New Roman"/>
                <w:color w:val="000000"/>
                <w:lang w:val="en-GB" w:eastAsia="en-GB" w:bidi="ar-SA"/>
              </w:rPr>
              <w:t>target</w:t>
            </w:r>
            <w:r w:rsidR="00E47D8F" w:rsidRPr="00C44970">
              <w:rPr>
                <w:rFonts w:eastAsia="Times New Roman" w:cs="Times New Roman"/>
                <w:color w:val="000000"/>
                <w:lang w:val="en-GB" w:eastAsia="en-GB" w:bidi="ar-SA"/>
              </w:rPr>
              <w:t xml:space="preserve"> educational institutions</w:t>
            </w:r>
          </w:p>
        </w:tc>
      </w:tr>
      <w:tr w:rsidR="00E47D8F" w:rsidRPr="00FA56CA" w14:paraId="116BDF26" w14:textId="77777777" w:rsidTr="00576D29">
        <w:trPr>
          <w:trHeight w:val="289"/>
        </w:trPr>
        <w:tc>
          <w:tcPr>
            <w:tcW w:w="15304" w:type="dxa"/>
            <w:tcBorders>
              <w:top w:val="single" w:sz="4" w:space="0" w:color="auto"/>
            </w:tcBorders>
            <w:shd w:val="clear" w:color="auto" w:fill="auto"/>
          </w:tcPr>
          <w:p w14:paraId="1225D60C" w14:textId="220F0E56" w:rsidR="00FF4181" w:rsidRDefault="00FF4181" w:rsidP="00E47D8F">
            <w:pPr>
              <w:pStyle w:val="Default"/>
              <w:rPr>
                <w:rFonts w:asciiTheme="minorHAnsi" w:hAnsiTheme="minorHAnsi"/>
                <w:b/>
                <w:bCs/>
                <w:sz w:val="22"/>
                <w:szCs w:val="22"/>
                <w:lang w:val="en-US"/>
              </w:rPr>
            </w:pPr>
            <w:r>
              <w:rPr>
                <w:rFonts w:asciiTheme="minorHAnsi" w:hAnsiTheme="minorHAnsi"/>
                <w:b/>
                <w:bCs/>
                <w:sz w:val="22"/>
                <w:szCs w:val="22"/>
                <w:lang w:val="en-US"/>
              </w:rPr>
              <w:t xml:space="preserve">Number of government approved textbooks provided to supported educational institutions. </w:t>
            </w:r>
          </w:p>
          <w:p w14:paraId="36A5B8B5" w14:textId="77777777" w:rsidR="00FF4181" w:rsidRDefault="00FF4181" w:rsidP="00E47D8F">
            <w:pPr>
              <w:pStyle w:val="Default"/>
              <w:rPr>
                <w:rFonts w:asciiTheme="minorHAnsi" w:hAnsiTheme="minorHAnsi"/>
                <w:b/>
                <w:bCs/>
                <w:sz w:val="22"/>
                <w:szCs w:val="22"/>
                <w:lang w:val="en-US"/>
              </w:rPr>
            </w:pPr>
          </w:p>
          <w:p w14:paraId="4FDE660A" w14:textId="5A258699" w:rsidR="00E47D8F" w:rsidRPr="00C44970" w:rsidRDefault="00E47D8F" w:rsidP="00E47D8F">
            <w:pPr>
              <w:pStyle w:val="Default"/>
              <w:rPr>
                <w:rFonts w:asciiTheme="minorHAnsi" w:hAnsiTheme="minorHAnsi"/>
                <w:b/>
                <w:bCs/>
                <w:sz w:val="22"/>
                <w:szCs w:val="22"/>
                <w:lang w:val="en-US"/>
              </w:rPr>
            </w:pPr>
            <w:r w:rsidRPr="00C44970">
              <w:rPr>
                <w:rFonts w:asciiTheme="minorHAnsi" w:hAnsiTheme="minorHAnsi"/>
                <w:b/>
                <w:bCs/>
                <w:sz w:val="22"/>
                <w:szCs w:val="22"/>
                <w:lang w:val="en-US"/>
              </w:rPr>
              <w:t xml:space="preserve">Definition: </w:t>
            </w:r>
            <w:r w:rsidR="00FF4181">
              <w:rPr>
                <w:rFonts w:asciiTheme="minorHAnsi" w:hAnsiTheme="minorHAnsi"/>
                <w:bCs/>
                <w:sz w:val="22"/>
                <w:szCs w:val="22"/>
                <w:lang w:val="en-US"/>
              </w:rPr>
              <w:t>R</w:t>
            </w:r>
            <w:r w:rsidRPr="00C44970">
              <w:rPr>
                <w:rFonts w:asciiTheme="minorHAnsi" w:hAnsiTheme="minorHAnsi"/>
                <w:bCs/>
                <w:sz w:val="22"/>
                <w:szCs w:val="22"/>
                <w:lang w:val="en-US"/>
              </w:rPr>
              <w:t xml:space="preserve">efers only to </w:t>
            </w:r>
            <w:r>
              <w:rPr>
                <w:rFonts w:asciiTheme="minorHAnsi" w:hAnsiTheme="minorHAnsi"/>
                <w:bCs/>
                <w:sz w:val="22"/>
                <w:szCs w:val="22"/>
                <w:lang w:val="en-US"/>
              </w:rPr>
              <w:t xml:space="preserve">government </w:t>
            </w:r>
            <w:r w:rsidR="00FF4181">
              <w:rPr>
                <w:rFonts w:asciiTheme="minorHAnsi" w:hAnsiTheme="minorHAnsi"/>
                <w:bCs/>
                <w:sz w:val="22"/>
                <w:szCs w:val="22"/>
                <w:lang w:val="en-US"/>
              </w:rPr>
              <w:t xml:space="preserve">(also governments in other countries when refugees are supported) </w:t>
            </w:r>
            <w:r>
              <w:rPr>
                <w:rFonts w:asciiTheme="minorHAnsi" w:hAnsiTheme="minorHAnsi"/>
                <w:bCs/>
                <w:sz w:val="22"/>
                <w:szCs w:val="22"/>
                <w:lang w:val="en-US"/>
              </w:rPr>
              <w:t xml:space="preserve">approved </w:t>
            </w:r>
            <w:r w:rsidRPr="00C44970">
              <w:rPr>
                <w:rFonts w:asciiTheme="minorHAnsi" w:hAnsiTheme="minorHAnsi"/>
                <w:bCs/>
                <w:sz w:val="22"/>
                <w:szCs w:val="22"/>
                <w:lang w:val="en-US"/>
              </w:rPr>
              <w:t>textbooks (not supplementary texts/ readers) supplied/ distributed to schools</w:t>
            </w:r>
            <w:r w:rsidR="00FF4181">
              <w:rPr>
                <w:rFonts w:asciiTheme="minorHAnsi" w:hAnsiTheme="minorHAnsi"/>
                <w:bCs/>
                <w:sz w:val="22"/>
                <w:szCs w:val="22"/>
                <w:lang w:val="en-US"/>
              </w:rPr>
              <w:t xml:space="preserve"> under programme/project. </w:t>
            </w:r>
            <w:r w:rsidRPr="00C44970">
              <w:rPr>
                <w:rFonts w:asciiTheme="minorHAnsi" w:hAnsiTheme="minorHAnsi"/>
                <w:bCs/>
                <w:sz w:val="22"/>
                <w:szCs w:val="22"/>
                <w:lang w:val="en-US"/>
              </w:rPr>
              <w:t xml:space="preserve">This can include textbooks supplied by the government but distributed to schools through </w:t>
            </w:r>
            <w:r w:rsidR="00FF4181">
              <w:rPr>
                <w:rFonts w:asciiTheme="minorHAnsi" w:hAnsiTheme="minorHAnsi"/>
                <w:bCs/>
                <w:sz w:val="22"/>
                <w:szCs w:val="22"/>
                <w:lang w:val="en-US"/>
              </w:rPr>
              <w:t xml:space="preserve">using programme/project resources. </w:t>
            </w:r>
          </w:p>
          <w:p w14:paraId="21FD672D" w14:textId="77777777" w:rsidR="00E47D8F" w:rsidRPr="00C44970" w:rsidRDefault="00E47D8F" w:rsidP="00E47D8F">
            <w:pPr>
              <w:spacing w:after="0" w:line="240" w:lineRule="auto"/>
              <w:rPr>
                <w:rFonts w:eastAsia="Times New Roman" w:cs="Times New Roman"/>
                <w:color w:val="000000"/>
                <w:lang w:val="en-GB" w:eastAsia="en-GB" w:bidi="ar-SA"/>
              </w:rPr>
            </w:pPr>
          </w:p>
        </w:tc>
      </w:tr>
      <w:tr w:rsidR="00E47D8F" w:rsidRPr="00FA56CA" w14:paraId="3DF41A02" w14:textId="77777777" w:rsidTr="00576D29">
        <w:trPr>
          <w:trHeight w:val="289"/>
        </w:trPr>
        <w:tc>
          <w:tcPr>
            <w:tcW w:w="15304" w:type="dxa"/>
            <w:shd w:val="clear" w:color="auto" w:fill="auto"/>
          </w:tcPr>
          <w:p w14:paraId="725C7850" w14:textId="35B7BA88" w:rsidR="00E47D8F" w:rsidRPr="00C44970" w:rsidRDefault="00E47D8F" w:rsidP="00E47D8F">
            <w:pPr>
              <w:pStyle w:val="Default"/>
              <w:rPr>
                <w:rFonts w:asciiTheme="minorHAnsi" w:hAnsiTheme="minorHAnsi"/>
                <w:b/>
                <w:bCs/>
                <w:sz w:val="22"/>
                <w:szCs w:val="22"/>
                <w:lang w:val="en-US"/>
              </w:rPr>
            </w:pPr>
            <w:r w:rsidRPr="00C44970">
              <w:rPr>
                <w:rFonts w:asciiTheme="minorHAnsi" w:hAnsiTheme="minorHAnsi"/>
                <w:b/>
                <w:bCs/>
                <w:sz w:val="22"/>
                <w:szCs w:val="22"/>
                <w:lang w:val="en-US"/>
              </w:rPr>
              <w:t xml:space="preserve">Methodology: </w:t>
            </w:r>
            <w:r w:rsidR="002E5785">
              <w:rPr>
                <w:rFonts w:asciiTheme="minorHAnsi" w:hAnsiTheme="minorHAnsi"/>
                <w:bCs/>
                <w:sz w:val="22"/>
                <w:szCs w:val="22"/>
                <w:lang w:val="en-US"/>
              </w:rPr>
              <w:t>R</w:t>
            </w:r>
            <w:r w:rsidRPr="00C44970">
              <w:rPr>
                <w:rFonts w:asciiTheme="minorHAnsi" w:hAnsiTheme="minorHAnsi"/>
                <w:bCs/>
                <w:sz w:val="22"/>
                <w:szCs w:val="22"/>
                <w:lang w:val="en-US"/>
              </w:rPr>
              <w:t>eported annually based on project records.</w:t>
            </w:r>
          </w:p>
          <w:p w14:paraId="60808827" w14:textId="77777777" w:rsidR="00E47D8F" w:rsidRPr="00C44970" w:rsidRDefault="00E47D8F" w:rsidP="00E47D8F">
            <w:pPr>
              <w:spacing w:after="0" w:line="240" w:lineRule="auto"/>
              <w:rPr>
                <w:rFonts w:eastAsia="Times New Roman" w:cs="Times New Roman"/>
                <w:color w:val="000000"/>
                <w:lang w:val="en-GB" w:eastAsia="en-GB" w:bidi="ar-SA"/>
              </w:rPr>
            </w:pPr>
          </w:p>
        </w:tc>
      </w:tr>
      <w:tr w:rsidR="002E5785" w:rsidRPr="00FA56CA" w14:paraId="7C6FD835" w14:textId="77777777" w:rsidTr="00576D29">
        <w:trPr>
          <w:trHeight w:val="289"/>
        </w:trPr>
        <w:tc>
          <w:tcPr>
            <w:tcW w:w="15304" w:type="dxa"/>
            <w:tcBorders>
              <w:bottom w:val="single" w:sz="4" w:space="0" w:color="auto"/>
            </w:tcBorders>
            <w:shd w:val="clear" w:color="auto" w:fill="auto"/>
          </w:tcPr>
          <w:p w14:paraId="790CD5B7" w14:textId="7497D928" w:rsidR="002E5785" w:rsidRPr="002E5785" w:rsidRDefault="002E5785" w:rsidP="00E47D8F">
            <w:pPr>
              <w:pStyle w:val="Default"/>
              <w:rPr>
                <w:rFonts w:asciiTheme="minorHAnsi" w:hAnsiTheme="minorHAnsi"/>
                <w:bCs/>
                <w:sz w:val="22"/>
                <w:szCs w:val="22"/>
                <w:lang w:val="en-US"/>
              </w:rPr>
            </w:pPr>
            <w:r>
              <w:rPr>
                <w:rFonts w:asciiTheme="minorHAnsi" w:hAnsiTheme="minorHAnsi"/>
                <w:b/>
                <w:bCs/>
                <w:sz w:val="22"/>
                <w:szCs w:val="22"/>
                <w:lang w:val="en-US"/>
              </w:rPr>
              <w:t xml:space="preserve">Type of indicator: </w:t>
            </w:r>
            <w:r>
              <w:rPr>
                <w:rFonts w:asciiTheme="minorHAnsi" w:hAnsiTheme="minorHAnsi"/>
                <w:bCs/>
                <w:sz w:val="22"/>
                <w:szCs w:val="22"/>
                <w:lang w:val="en-US"/>
              </w:rPr>
              <w:t xml:space="preserve">Output, </w:t>
            </w:r>
            <w:r w:rsidRPr="00752B57">
              <w:rPr>
                <w:rFonts w:asciiTheme="minorHAnsi" w:hAnsiTheme="minorHAnsi"/>
                <w:bCs/>
                <w:sz w:val="22"/>
                <w:szCs w:val="22"/>
                <w:lang w:val="en-US"/>
              </w:rPr>
              <w:t>cumulative</w:t>
            </w:r>
          </w:p>
        </w:tc>
      </w:tr>
      <w:tr w:rsidR="00E47D8F" w:rsidRPr="00FA56CA" w14:paraId="28D53271" w14:textId="77777777" w:rsidTr="00576D29">
        <w:trPr>
          <w:trHeight w:val="315"/>
        </w:trPr>
        <w:tc>
          <w:tcPr>
            <w:tcW w:w="15304"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2ACD80DC" w14:textId="027E8D18" w:rsidR="00E47D8F" w:rsidRPr="00C44970" w:rsidRDefault="009D0730" w:rsidP="00E47D8F">
            <w:pPr>
              <w:spacing w:after="0" w:line="240" w:lineRule="auto"/>
              <w:rPr>
                <w:rFonts w:eastAsia="Times New Roman" w:cs="Times New Roman"/>
                <w:color w:val="000000"/>
                <w:lang w:val="en-GB" w:eastAsia="en-GB" w:bidi="ar-SA"/>
              </w:rPr>
            </w:pPr>
            <w:r>
              <w:rPr>
                <w:rFonts w:eastAsia="Times New Roman" w:cs="Times New Roman"/>
                <w:color w:val="000000"/>
                <w:lang w:val="en-GB" w:eastAsia="en-GB" w:bidi="ar-SA"/>
              </w:rPr>
              <w:t xml:space="preserve">Indicator </w:t>
            </w:r>
            <w:r w:rsidR="002E5785">
              <w:rPr>
                <w:rFonts w:eastAsia="Times New Roman" w:cs="Times New Roman"/>
                <w:color w:val="000000"/>
                <w:lang w:val="en-GB" w:eastAsia="en-GB" w:bidi="ar-SA"/>
              </w:rPr>
              <w:t>2.1.2: # of new/revised</w:t>
            </w:r>
            <w:r w:rsidR="00E47D8F" w:rsidRPr="00C44970">
              <w:rPr>
                <w:rFonts w:eastAsia="Times New Roman" w:cs="Times New Roman"/>
                <w:color w:val="000000"/>
                <w:lang w:val="en-GB" w:eastAsia="en-GB" w:bidi="ar-SA"/>
              </w:rPr>
              <w:t xml:space="preserve"> curricula developed</w:t>
            </w:r>
          </w:p>
        </w:tc>
      </w:tr>
      <w:tr w:rsidR="00E47D8F" w:rsidRPr="00FA56CA" w14:paraId="6F5637A6" w14:textId="77777777" w:rsidTr="00576D29">
        <w:trPr>
          <w:trHeight w:val="80"/>
        </w:trPr>
        <w:tc>
          <w:tcPr>
            <w:tcW w:w="15304" w:type="dxa"/>
            <w:tcBorders>
              <w:top w:val="single" w:sz="4" w:space="0" w:color="auto"/>
            </w:tcBorders>
            <w:shd w:val="clear" w:color="auto" w:fill="auto"/>
          </w:tcPr>
          <w:p w14:paraId="15FCED93" w14:textId="56A0DCCE" w:rsidR="00E47D8F" w:rsidRPr="00C44970" w:rsidRDefault="00E47D8F" w:rsidP="00E47D8F">
            <w:pPr>
              <w:pStyle w:val="Default"/>
              <w:rPr>
                <w:rFonts w:asciiTheme="minorHAnsi" w:hAnsiTheme="minorHAnsi"/>
                <w:bCs/>
                <w:sz w:val="22"/>
                <w:szCs w:val="22"/>
                <w:lang w:val="en-US"/>
              </w:rPr>
            </w:pPr>
            <w:r w:rsidRPr="00C44970">
              <w:rPr>
                <w:rFonts w:asciiTheme="minorHAnsi" w:hAnsiTheme="minorHAnsi"/>
                <w:b/>
                <w:bCs/>
                <w:sz w:val="22"/>
                <w:szCs w:val="22"/>
                <w:lang w:val="en-US"/>
              </w:rPr>
              <w:t xml:space="preserve">Definition: </w:t>
            </w:r>
            <w:r w:rsidR="002E5785">
              <w:rPr>
                <w:rFonts w:asciiTheme="minorHAnsi" w:hAnsiTheme="minorHAnsi"/>
                <w:bCs/>
                <w:sz w:val="22"/>
                <w:szCs w:val="22"/>
                <w:lang w:val="en-US"/>
              </w:rPr>
              <w:t>N</w:t>
            </w:r>
            <w:r w:rsidRPr="00C44970">
              <w:rPr>
                <w:rFonts w:asciiTheme="minorHAnsi" w:hAnsiTheme="minorHAnsi"/>
                <w:bCs/>
                <w:sz w:val="22"/>
                <w:szCs w:val="22"/>
                <w:lang w:val="en-US"/>
              </w:rPr>
              <w:t xml:space="preserve">ew </w:t>
            </w:r>
            <w:r>
              <w:rPr>
                <w:rFonts w:asciiTheme="minorHAnsi" w:hAnsiTheme="minorHAnsi"/>
                <w:bCs/>
                <w:sz w:val="22"/>
                <w:szCs w:val="22"/>
                <w:lang w:val="en-US"/>
              </w:rPr>
              <w:t>government</w:t>
            </w:r>
            <w:r w:rsidRPr="00C44970">
              <w:rPr>
                <w:rFonts w:asciiTheme="minorHAnsi" w:hAnsiTheme="minorHAnsi"/>
                <w:bCs/>
                <w:sz w:val="22"/>
                <w:szCs w:val="22"/>
                <w:lang w:val="en-US"/>
              </w:rPr>
              <w:t xml:space="preserve"> </w:t>
            </w:r>
            <w:r>
              <w:rPr>
                <w:rFonts w:asciiTheme="minorHAnsi" w:hAnsiTheme="minorHAnsi"/>
                <w:bCs/>
                <w:sz w:val="22"/>
                <w:szCs w:val="22"/>
                <w:lang w:val="en-US"/>
              </w:rPr>
              <w:t xml:space="preserve">approved </w:t>
            </w:r>
            <w:r w:rsidRPr="00C44970">
              <w:rPr>
                <w:rFonts w:asciiTheme="minorHAnsi" w:hAnsiTheme="minorHAnsi"/>
                <w:bCs/>
                <w:sz w:val="22"/>
                <w:szCs w:val="22"/>
                <w:lang w:val="en-US"/>
              </w:rPr>
              <w:t xml:space="preserve">curricula developed/ revised with support from </w:t>
            </w:r>
            <w:r w:rsidR="002E5785">
              <w:rPr>
                <w:rFonts w:asciiTheme="minorHAnsi" w:hAnsiTheme="minorHAnsi"/>
                <w:bCs/>
                <w:sz w:val="22"/>
                <w:szCs w:val="22"/>
                <w:lang w:val="en-US"/>
              </w:rPr>
              <w:t>project/programme</w:t>
            </w:r>
            <w:r w:rsidRPr="00C44970">
              <w:rPr>
                <w:rFonts w:asciiTheme="minorHAnsi" w:hAnsiTheme="minorHAnsi"/>
                <w:bCs/>
                <w:sz w:val="22"/>
                <w:szCs w:val="22"/>
                <w:lang w:val="en-US"/>
              </w:rPr>
              <w:t>. Can include curricula for a specific school cycle or type of education institution (e.g. primary/ secondary/ accelerated learning programme),</w:t>
            </w:r>
            <w:r>
              <w:rPr>
                <w:rFonts w:asciiTheme="minorHAnsi" w:hAnsiTheme="minorHAnsi"/>
                <w:bCs/>
                <w:sz w:val="22"/>
                <w:szCs w:val="22"/>
                <w:lang w:val="en-US"/>
              </w:rPr>
              <w:t xml:space="preserve"> or</w:t>
            </w:r>
            <w:r w:rsidRPr="00C44970">
              <w:rPr>
                <w:rFonts w:asciiTheme="minorHAnsi" w:hAnsiTheme="minorHAnsi"/>
                <w:bCs/>
                <w:sz w:val="22"/>
                <w:szCs w:val="22"/>
                <w:lang w:val="en-US"/>
              </w:rPr>
              <w:t xml:space="preserve"> a subject area </w:t>
            </w:r>
            <w:r>
              <w:rPr>
                <w:rFonts w:asciiTheme="minorHAnsi" w:hAnsiTheme="minorHAnsi"/>
                <w:bCs/>
                <w:sz w:val="22"/>
                <w:szCs w:val="22"/>
                <w:lang w:val="en-US"/>
              </w:rPr>
              <w:t>within that cycle (e.g. p</w:t>
            </w:r>
            <w:r w:rsidRPr="00C44970">
              <w:rPr>
                <w:rFonts w:asciiTheme="minorHAnsi" w:hAnsiTheme="minorHAnsi"/>
                <w:bCs/>
                <w:sz w:val="22"/>
                <w:szCs w:val="22"/>
                <w:lang w:val="en-US"/>
              </w:rPr>
              <w:t xml:space="preserve">eace education). </w:t>
            </w:r>
          </w:p>
          <w:p w14:paraId="2332CFAF" w14:textId="77777777" w:rsidR="00E47D8F" w:rsidRPr="00C44970" w:rsidRDefault="00E47D8F" w:rsidP="00E47D8F">
            <w:pPr>
              <w:spacing w:after="0" w:line="240" w:lineRule="auto"/>
              <w:rPr>
                <w:rFonts w:eastAsia="Times New Roman" w:cs="Times New Roman"/>
                <w:color w:val="000000"/>
                <w:lang w:val="en-GB" w:eastAsia="en-GB" w:bidi="ar-SA"/>
              </w:rPr>
            </w:pPr>
          </w:p>
        </w:tc>
      </w:tr>
      <w:tr w:rsidR="00E47D8F" w:rsidRPr="00FA56CA" w14:paraId="61869398" w14:textId="77777777" w:rsidTr="00576D29">
        <w:trPr>
          <w:trHeight w:val="80"/>
        </w:trPr>
        <w:tc>
          <w:tcPr>
            <w:tcW w:w="15304" w:type="dxa"/>
            <w:shd w:val="clear" w:color="auto" w:fill="auto"/>
          </w:tcPr>
          <w:p w14:paraId="59A1DBA8" w14:textId="77777777" w:rsidR="00E47D8F" w:rsidRPr="00C44970" w:rsidRDefault="00E47D8F" w:rsidP="00E47D8F">
            <w:pPr>
              <w:pStyle w:val="Default"/>
              <w:rPr>
                <w:rFonts w:asciiTheme="minorHAnsi" w:hAnsiTheme="minorHAnsi"/>
                <w:b/>
                <w:bCs/>
                <w:sz w:val="22"/>
                <w:szCs w:val="22"/>
                <w:lang w:val="en-US"/>
              </w:rPr>
            </w:pPr>
            <w:r w:rsidRPr="00C44970">
              <w:rPr>
                <w:rFonts w:asciiTheme="minorHAnsi" w:hAnsiTheme="minorHAnsi"/>
                <w:b/>
                <w:bCs/>
                <w:sz w:val="22"/>
                <w:szCs w:val="22"/>
                <w:lang w:val="en-US"/>
              </w:rPr>
              <w:t xml:space="preserve">Methodology: </w:t>
            </w:r>
            <w:r w:rsidRPr="00C44970">
              <w:rPr>
                <w:rFonts w:asciiTheme="minorHAnsi" w:hAnsiTheme="minorHAnsi"/>
                <w:bCs/>
                <w:sz w:val="22"/>
                <w:szCs w:val="22"/>
                <w:lang w:val="en-US"/>
              </w:rPr>
              <w:t>Report for year the</w:t>
            </w:r>
            <w:r w:rsidRPr="00C44970">
              <w:rPr>
                <w:rFonts w:asciiTheme="minorHAnsi" w:hAnsiTheme="minorHAnsi"/>
                <w:b/>
                <w:bCs/>
                <w:sz w:val="22"/>
                <w:szCs w:val="22"/>
                <w:lang w:val="en-US"/>
              </w:rPr>
              <w:t xml:space="preserve"> </w:t>
            </w:r>
            <w:r w:rsidRPr="00C44970">
              <w:rPr>
                <w:rFonts w:asciiTheme="minorHAnsi" w:hAnsiTheme="minorHAnsi"/>
                <w:bCs/>
                <w:sz w:val="22"/>
                <w:szCs w:val="22"/>
                <w:lang w:val="en-US"/>
              </w:rPr>
              <w:t>new/ revised</w:t>
            </w:r>
            <w:r w:rsidRPr="00C44970">
              <w:rPr>
                <w:rFonts w:asciiTheme="minorHAnsi" w:hAnsiTheme="minorHAnsi"/>
                <w:b/>
                <w:bCs/>
                <w:sz w:val="22"/>
                <w:szCs w:val="22"/>
                <w:lang w:val="en-US"/>
              </w:rPr>
              <w:t xml:space="preserve"> </w:t>
            </w:r>
            <w:r w:rsidRPr="00C44970">
              <w:rPr>
                <w:rFonts w:asciiTheme="minorHAnsi" w:hAnsiTheme="minorHAnsi"/>
                <w:bCs/>
                <w:sz w:val="22"/>
                <w:szCs w:val="22"/>
                <w:lang w:val="en-US"/>
              </w:rPr>
              <w:t>curriculum is approved by government</w:t>
            </w:r>
          </w:p>
          <w:p w14:paraId="31749BB7" w14:textId="77777777" w:rsidR="00E47D8F" w:rsidRPr="00C44970" w:rsidRDefault="00E47D8F" w:rsidP="00E47D8F">
            <w:pPr>
              <w:spacing w:after="0" w:line="240" w:lineRule="auto"/>
              <w:rPr>
                <w:rFonts w:eastAsia="Times New Roman" w:cs="Times New Roman"/>
                <w:color w:val="000000"/>
                <w:lang w:val="en-GB" w:eastAsia="en-GB" w:bidi="ar-SA"/>
              </w:rPr>
            </w:pPr>
          </w:p>
        </w:tc>
      </w:tr>
      <w:tr w:rsidR="002E5785" w:rsidRPr="00FA56CA" w14:paraId="3BFBBE93" w14:textId="77777777" w:rsidTr="00576D29">
        <w:trPr>
          <w:trHeight w:val="80"/>
        </w:trPr>
        <w:tc>
          <w:tcPr>
            <w:tcW w:w="15304" w:type="dxa"/>
            <w:tcBorders>
              <w:bottom w:val="single" w:sz="4" w:space="0" w:color="auto"/>
            </w:tcBorders>
            <w:shd w:val="clear" w:color="auto" w:fill="auto"/>
          </w:tcPr>
          <w:p w14:paraId="1072F1D9" w14:textId="77777777" w:rsidR="002E5785" w:rsidRDefault="002E5785" w:rsidP="00E47D8F">
            <w:pPr>
              <w:pStyle w:val="Default"/>
              <w:rPr>
                <w:rFonts w:asciiTheme="minorHAnsi" w:hAnsiTheme="minorHAnsi"/>
                <w:bCs/>
                <w:sz w:val="22"/>
                <w:szCs w:val="22"/>
                <w:lang w:val="en-US"/>
              </w:rPr>
            </w:pPr>
            <w:r>
              <w:rPr>
                <w:rFonts w:asciiTheme="minorHAnsi" w:hAnsiTheme="minorHAnsi"/>
                <w:b/>
                <w:bCs/>
                <w:sz w:val="22"/>
                <w:szCs w:val="22"/>
                <w:lang w:val="en-US"/>
              </w:rPr>
              <w:t xml:space="preserve">Type of indicator: </w:t>
            </w:r>
            <w:r>
              <w:rPr>
                <w:rFonts w:asciiTheme="minorHAnsi" w:hAnsiTheme="minorHAnsi"/>
                <w:bCs/>
                <w:sz w:val="22"/>
                <w:szCs w:val="22"/>
                <w:lang w:val="en-US"/>
              </w:rPr>
              <w:t xml:space="preserve">Output, </w:t>
            </w:r>
            <w:r w:rsidRPr="00752B57">
              <w:rPr>
                <w:rFonts w:asciiTheme="minorHAnsi" w:hAnsiTheme="minorHAnsi"/>
                <w:bCs/>
                <w:sz w:val="22"/>
                <w:szCs w:val="22"/>
                <w:lang w:val="en-US"/>
              </w:rPr>
              <w:t>cumulative</w:t>
            </w:r>
          </w:p>
          <w:p w14:paraId="697B586A" w14:textId="64E06AED" w:rsidR="002E5785" w:rsidRPr="002E5785" w:rsidRDefault="002E5785" w:rsidP="00E47D8F">
            <w:pPr>
              <w:pStyle w:val="Default"/>
              <w:rPr>
                <w:rFonts w:asciiTheme="minorHAnsi" w:hAnsiTheme="minorHAnsi"/>
                <w:bCs/>
                <w:sz w:val="22"/>
                <w:szCs w:val="22"/>
                <w:lang w:val="en-US"/>
              </w:rPr>
            </w:pPr>
          </w:p>
        </w:tc>
      </w:tr>
      <w:tr w:rsidR="00E47D8F" w:rsidRPr="00C44970" w14:paraId="5E97D0C5" w14:textId="77777777" w:rsidTr="00576D29">
        <w:trPr>
          <w:trHeight w:val="315"/>
        </w:trPr>
        <w:tc>
          <w:tcPr>
            <w:tcW w:w="15304"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02D91F71" w14:textId="77777777" w:rsidR="00E47D8F" w:rsidRPr="00C44970" w:rsidRDefault="00E47D8F" w:rsidP="00E47D8F">
            <w:pPr>
              <w:spacing w:after="0" w:line="240" w:lineRule="auto"/>
              <w:rPr>
                <w:rFonts w:eastAsia="Times New Roman" w:cs="Times New Roman"/>
                <w:color w:val="000000"/>
                <w:lang w:val="en-GB" w:eastAsia="en-GB" w:bidi="ar-SA"/>
              </w:rPr>
            </w:pPr>
            <w:r w:rsidRPr="00C44970">
              <w:rPr>
                <w:rFonts w:eastAsia="Times New Roman" w:cs="Times New Roman"/>
                <w:color w:val="000000"/>
                <w:lang w:val="en-GB" w:eastAsia="en-GB" w:bidi="ar-SA"/>
              </w:rPr>
              <w:t>Outcome 2.2: Improved teacher workforce</w:t>
            </w:r>
          </w:p>
        </w:tc>
      </w:tr>
      <w:tr w:rsidR="00E47D8F" w:rsidRPr="00FA56CA" w14:paraId="5014F229" w14:textId="77777777" w:rsidTr="00576D29">
        <w:trPr>
          <w:trHeight w:val="397"/>
        </w:trPr>
        <w:tc>
          <w:tcPr>
            <w:tcW w:w="15304"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0131018B" w14:textId="06090089" w:rsidR="00E47D8F" w:rsidRPr="00C44970" w:rsidRDefault="009D0730" w:rsidP="00E47D8F">
            <w:pPr>
              <w:spacing w:after="0" w:line="240" w:lineRule="auto"/>
              <w:rPr>
                <w:rFonts w:eastAsia="Times New Roman" w:cs="Times New Roman"/>
                <w:color w:val="000000"/>
                <w:lang w:val="en-GB" w:eastAsia="en-GB" w:bidi="ar-SA"/>
              </w:rPr>
            </w:pPr>
            <w:r>
              <w:rPr>
                <w:rFonts w:eastAsia="Times New Roman" w:cs="Times New Roman"/>
                <w:color w:val="000000"/>
                <w:lang w:val="en-GB" w:eastAsia="en-GB" w:bidi="ar-SA"/>
              </w:rPr>
              <w:t xml:space="preserve">Indicator </w:t>
            </w:r>
            <w:r w:rsidR="00E47D8F" w:rsidRPr="00C44970">
              <w:rPr>
                <w:rFonts w:eastAsia="Times New Roman" w:cs="Times New Roman"/>
                <w:color w:val="000000"/>
                <w:lang w:val="en-GB" w:eastAsia="en-GB" w:bidi="ar-SA"/>
              </w:rPr>
              <w:t>2.2.1: # of teachers supported to obtain teacher qualification a</w:t>
            </w:r>
            <w:r w:rsidR="002E5785">
              <w:rPr>
                <w:rFonts w:eastAsia="Times New Roman" w:cs="Times New Roman"/>
                <w:color w:val="000000"/>
                <w:lang w:val="en-GB" w:eastAsia="en-GB" w:bidi="ar-SA"/>
              </w:rPr>
              <w:t>s per government set standard (sex).</w:t>
            </w:r>
          </w:p>
        </w:tc>
      </w:tr>
      <w:tr w:rsidR="00E47D8F" w:rsidRPr="00FA56CA" w14:paraId="64E22C5D" w14:textId="77777777" w:rsidTr="00576D29">
        <w:trPr>
          <w:trHeight w:val="600"/>
        </w:trPr>
        <w:tc>
          <w:tcPr>
            <w:tcW w:w="15304" w:type="dxa"/>
            <w:tcBorders>
              <w:top w:val="single" w:sz="4" w:space="0" w:color="auto"/>
            </w:tcBorders>
            <w:shd w:val="clear" w:color="auto" w:fill="FFFFFF" w:themeFill="background1"/>
          </w:tcPr>
          <w:p w14:paraId="31A77D1C" w14:textId="77777777" w:rsidR="00BA3CA0" w:rsidRPr="00BF0D80" w:rsidRDefault="00BA3CA0" w:rsidP="00E47D8F">
            <w:pPr>
              <w:pStyle w:val="Default"/>
              <w:rPr>
                <w:rFonts w:asciiTheme="minorHAnsi" w:hAnsiTheme="minorHAnsi"/>
                <w:b/>
                <w:bCs/>
                <w:sz w:val="22"/>
                <w:szCs w:val="22"/>
                <w:lang w:val="en-US"/>
              </w:rPr>
            </w:pPr>
            <w:r w:rsidRPr="00BF0D80">
              <w:rPr>
                <w:rFonts w:asciiTheme="minorHAnsi" w:hAnsiTheme="minorHAnsi"/>
                <w:b/>
                <w:bCs/>
                <w:sz w:val="22"/>
                <w:szCs w:val="22"/>
                <w:lang w:val="en-US"/>
              </w:rPr>
              <w:t>N</w:t>
            </w:r>
            <w:r w:rsidR="00E47D8F" w:rsidRPr="00BF0D80">
              <w:rPr>
                <w:rFonts w:asciiTheme="minorHAnsi" w:hAnsiTheme="minorHAnsi"/>
                <w:b/>
                <w:bCs/>
                <w:sz w:val="22"/>
                <w:szCs w:val="22"/>
                <w:lang w:val="en-US"/>
              </w:rPr>
              <w:t xml:space="preserve">umber of teachers graduating with national teacher qualification levels from training programmes supported by </w:t>
            </w:r>
            <w:r w:rsidRPr="00BF0D80">
              <w:rPr>
                <w:rFonts w:asciiTheme="minorHAnsi" w:hAnsiTheme="minorHAnsi"/>
                <w:b/>
                <w:bCs/>
                <w:sz w:val="22"/>
                <w:szCs w:val="22"/>
                <w:lang w:val="en-US"/>
              </w:rPr>
              <w:t>project/programme.</w:t>
            </w:r>
            <w:r w:rsidR="00E47D8F" w:rsidRPr="00BF0D80">
              <w:rPr>
                <w:rFonts w:asciiTheme="minorHAnsi" w:hAnsiTheme="minorHAnsi"/>
                <w:b/>
                <w:bCs/>
                <w:sz w:val="22"/>
                <w:szCs w:val="22"/>
                <w:lang w:val="en-US"/>
              </w:rPr>
              <w:t xml:space="preserve"> </w:t>
            </w:r>
          </w:p>
          <w:p w14:paraId="63B1AD7E" w14:textId="2707C9BC" w:rsidR="00BA3CA0" w:rsidRDefault="00BA3CA0" w:rsidP="00E47D8F">
            <w:pPr>
              <w:pStyle w:val="Default"/>
              <w:rPr>
                <w:rFonts w:asciiTheme="minorHAnsi" w:hAnsiTheme="minorHAnsi"/>
                <w:bCs/>
                <w:sz w:val="22"/>
                <w:szCs w:val="22"/>
                <w:lang w:val="en-US"/>
              </w:rPr>
            </w:pPr>
          </w:p>
          <w:p w14:paraId="70D2E8AB" w14:textId="029183B6" w:rsidR="00BA3CA0" w:rsidRPr="00BA3CA0" w:rsidRDefault="00BA3CA0" w:rsidP="00E47D8F">
            <w:pPr>
              <w:pStyle w:val="Default"/>
              <w:rPr>
                <w:rFonts w:asciiTheme="minorHAnsi" w:hAnsiTheme="minorHAnsi"/>
                <w:b/>
                <w:bCs/>
                <w:sz w:val="22"/>
                <w:szCs w:val="22"/>
                <w:lang w:val="en-US"/>
              </w:rPr>
            </w:pPr>
            <w:r w:rsidRPr="00BA3CA0">
              <w:rPr>
                <w:rFonts w:asciiTheme="minorHAnsi" w:hAnsiTheme="minorHAnsi"/>
                <w:b/>
                <w:bCs/>
                <w:sz w:val="22"/>
                <w:szCs w:val="22"/>
                <w:lang w:val="en-US"/>
              </w:rPr>
              <w:t xml:space="preserve">Definition: </w:t>
            </w:r>
          </w:p>
          <w:p w14:paraId="4E9ADF5E" w14:textId="2C84EF2E" w:rsidR="00E47D8F" w:rsidRDefault="00E47D8F" w:rsidP="00E47D8F">
            <w:pPr>
              <w:pStyle w:val="Default"/>
              <w:rPr>
                <w:rFonts w:asciiTheme="minorHAnsi" w:hAnsiTheme="minorHAnsi"/>
                <w:bCs/>
                <w:sz w:val="22"/>
                <w:szCs w:val="22"/>
                <w:lang w:val="en-US"/>
              </w:rPr>
            </w:pPr>
            <w:r w:rsidRPr="00C44970">
              <w:rPr>
                <w:rFonts w:asciiTheme="minorHAnsi" w:hAnsiTheme="minorHAnsi"/>
                <w:bCs/>
                <w:sz w:val="22"/>
                <w:szCs w:val="22"/>
                <w:lang w:val="en-US"/>
              </w:rPr>
              <w:t xml:space="preserve">This can include </w:t>
            </w:r>
            <w:r w:rsidR="00BA3CA0">
              <w:rPr>
                <w:rFonts w:asciiTheme="minorHAnsi" w:hAnsiTheme="minorHAnsi"/>
                <w:bCs/>
                <w:sz w:val="22"/>
                <w:szCs w:val="22"/>
                <w:lang w:val="en-US"/>
              </w:rPr>
              <w:t xml:space="preserve">support to pre-service training through </w:t>
            </w:r>
            <w:r w:rsidRPr="00C44970">
              <w:rPr>
                <w:rFonts w:asciiTheme="minorHAnsi" w:hAnsiTheme="minorHAnsi"/>
                <w:bCs/>
                <w:sz w:val="22"/>
                <w:szCs w:val="22"/>
                <w:lang w:val="en-US"/>
              </w:rPr>
              <w:t>teacher training colleges, scholarship programmes for people to train and qualify as teachers</w:t>
            </w:r>
            <w:r w:rsidR="00BA3CA0">
              <w:rPr>
                <w:rFonts w:asciiTheme="minorHAnsi" w:hAnsiTheme="minorHAnsi"/>
                <w:bCs/>
                <w:sz w:val="22"/>
                <w:szCs w:val="22"/>
                <w:lang w:val="en-US"/>
              </w:rPr>
              <w:t xml:space="preserve"> and</w:t>
            </w:r>
            <w:r w:rsidRPr="00C44970">
              <w:rPr>
                <w:rFonts w:asciiTheme="minorHAnsi" w:hAnsiTheme="minorHAnsi"/>
                <w:bCs/>
                <w:sz w:val="22"/>
                <w:szCs w:val="22"/>
                <w:lang w:val="en-US"/>
              </w:rPr>
              <w:t xml:space="preserve"> </w:t>
            </w:r>
            <w:r w:rsidR="00BA3CA0">
              <w:rPr>
                <w:rFonts w:asciiTheme="minorHAnsi" w:hAnsiTheme="minorHAnsi"/>
                <w:bCs/>
                <w:sz w:val="22"/>
                <w:szCs w:val="22"/>
                <w:lang w:val="en-US"/>
              </w:rPr>
              <w:t xml:space="preserve">in-service programmes for </w:t>
            </w:r>
            <w:r w:rsidRPr="00C44970">
              <w:rPr>
                <w:rFonts w:asciiTheme="minorHAnsi" w:hAnsiTheme="minorHAnsi"/>
                <w:bCs/>
                <w:sz w:val="22"/>
                <w:szCs w:val="22"/>
                <w:lang w:val="en-US"/>
              </w:rPr>
              <w:t>upgrading practicing teachers to become qualified</w:t>
            </w:r>
            <w:r w:rsidR="009D0730" w:rsidRPr="00C44970">
              <w:rPr>
                <w:rFonts w:asciiTheme="minorHAnsi" w:hAnsiTheme="minorHAnsi"/>
                <w:bCs/>
                <w:sz w:val="22"/>
                <w:szCs w:val="22"/>
                <w:lang w:val="en-US"/>
              </w:rPr>
              <w:t xml:space="preserve"> (including d</w:t>
            </w:r>
            <w:r w:rsidR="009D0730">
              <w:rPr>
                <w:rFonts w:asciiTheme="minorHAnsi" w:hAnsiTheme="minorHAnsi"/>
                <w:bCs/>
                <w:sz w:val="22"/>
                <w:szCs w:val="22"/>
                <w:lang w:val="en-US"/>
              </w:rPr>
              <w:t>istance learning programmes)</w:t>
            </w:r>
            <w:r w:rsidRPr="00C44970">
              <w:rPr>
                <w:rFonts w:asciiTheme="minorHAnsi" w:hAnsiTheme="minorHAnsi"/>
                <w:bCs/>
                <w:sz w:val="22"/>
                <w:szCs w:val="22"/>
                <w:lang w:val="en-US"/>
              </w:rPr>
              <w:t>.</w:t>
            </w:r>
          </w:p>
          <w:p w14:paraId="2678019A" w14:textId="26AB6221" w:rsidR="00E47D8F" w:rsidRPr="00C44970" w:rsidRDefault="00E47D8F" w:rsidP="00BA3CA0">
            <w:pPr>
              <w:pStyle w:val="Default"/>
              <w:rPr>
                <w:rFonts w:eastAsia="Times New Roman" w:cs="Times New Roman"/>
                <w:lang w:val="en-GB" w:eastAsia="en-GB" w:bidi="ar-SA"/>
              </w:rPr>
            </w:pPr>
          </w:p>
        </w:tc>
      </w:tr>
      <w:tr w:rsidR="00E47D8F" w:rsidRPr="00FA56CA" w14:paraId="6DA98733" w14:textId="77777777" w:rsidTr="00576D29">
        <w:trPr>
          <w:trHeight w:val="340"/>
        </w:trPr>
        <w:tc>
          <w:tcPr>
            <w:tcW w:w="15304" w:type="dxa"/>
            <w:shd w:val="clear" w:color="auto" w:fill="FFFFFF" w:themeFill="background1"/>
          </w:tcPr>
          <w:p w14:paraId="7202BA14" w14:textId="48600929" w:rsidR="00E47D8F" w:rsidRPr="009D0730" w:rsidRDefault="00E47D8F" w:rsidP="009D0730">
            <w:pPr>
              <w:pStyle w:val="Default"/>
              <w:rPr>
                <w:rFonts w:asciiTheme="minorHAnsi" w:hAnsiTheme="minorHAnsi"/>
                <w:b/>
                <w:bCs/>
                <w:sz w:val="22"/>
                <w:szCs w:val="22"/>
                <w:lang w:val="en-US"/>
              </w:rPr>
            </w:pPr>
            <w:r w:rsidRPr="00C44970">
              <w:rPr>
                <w:rFonts w:asciiTheme="minorHAnsi" w:hAnsiTheme="minorHAnsi"/>
                <w:b/>
                <w:bCs/>
                <w:sz w:val="22"/>
                <w:szCs w:val="22"/>
                <w:lang w:val="en-US"/>
              </w:rPr>
              <w:t xml:space="preserve">Methodology: </w:t>
            </w:r>
            <w:r w:rsidRPr="00C44970">
              <w:rPr>
                <w:rFonts w:asciiTheme="minorHAnsi" w:hAnsiTheme="minorHAnsi"/>
                <w:bCs/>
                <w:sz w:val="22"/>
                <w:szCs w:val="22"/>
                <w:lang w:val="en-US"/>
              </w:rPr>
              <w:t>from project records. Report the number of</w:t>
            </w:r>
            <w:r w:rsidRPr="00C44970">
              <w:rPr>
                <w:rFonts w:asciiTheme="minorHAnsi" w:hAnsiTheme="minorHAnsi"/>
                <w:b/>
                <w:bCs/>
                <w:sz w:val="22"/>
                <w:szCs w:val="22"/>
                <w:lang w:val="en-US"/>
              </w:rPr>
              <w:t xml:space="preserve"> </w:t>
            </w:r>
            <w:r w:rsidRPr="00C44970">
              <w:rPr>
                <w:rFonts w:asciiTheme="minorHAnsi" w:hAnsiTheme="minorHAnsi"/>
                <w:bCs/>
                <w:sz w:val="22"/>
                <w:szCs w:val="22"/>
                <w:lang w:val="en-US"/>
              </w:rPr>
              <w:t>teachers against the year in which they graduate/ obtain their qualification</w:t>
            </w:r>
            <w:r w:rsidR="009D0730">
              <w:rPr>
                <w:rFonts w:asciiTheme="minorHAnsi" w:hAnsiTheme="minorHAnsi"/>
                <w:b/>
                <w:bCs/>
                <w:sz w:val="22"/>
                <w:szCs w:val="22"/>
                <w:lang w:val="en-US"/>
              </w:rPr>
              <w:t>.</w:t>
            </w:r>
          </w:p>
        </w:tc>
      </w:tr>
      <w:tr w:rsidR="009D0730" w:rsidRPr="00FA56CA" w14:paraId="1454774C" w14:textId="77777777" w:rsidTr="00576D29">
        <w:trPr>
          <w:trHeight w:val="340"/>
        </w:trPr>
        <w:tc>
          <w:tcPr>
            <w:tcW w:w="15304" w:type="dxa"/>
            <w:tcBorders>
              <w:bottom w:val="single" w:sz="4" w:space="0" w:color="auto"/>
            </w:tcBorders>
            <w:shd w:val="clear" w:color="auto" w:fill="FFFFFF" w:themeFill="background1"/>
          </w:tcPr>
          <w:p w14:paraId="6609782E" w14:textId="3BAF1F26" w:rsidR="009D0730" w:rsidRPr="009D0730" w:rsidRDefault="009D0730" w:rsidP="009D0730">
            <w:pPr>
              <w:pStyle w:val="Default"/>
              <w:rPr>
                <w:rFonts w:asciiTheme="minorHAnsi" w:hAnsiTheme="minorHAnsi"/>
                <w:bCs/>
                <w:sz w:val="22"/>
                <w:szCs w:val="22"/>
                <w:lang w:val="en-US"/>
              </w:rPr>
            </w:pPr>
            <w:r>
              <w:rPr>
                <w:rFonts w:asciiTheme="minorHAnsi" w:hAnsiTheme="minorHAnsi"/>
                <w:b/>
                <w:bCs/>
                <w:sz w:val="22"/>
                <w:szCs w:val="22"/>
                <w:lang w:val="en-US"/>
              </w:rPr>
              <w:t xml:space="preserve">Type of indicator: </w:t>
            </w:r>
            <w:r>
              <w:rPr>
                <w:rFonts w:asciiTheme="minorHAnsi" w:hAnsiTheme="minorHAnsi"/>
                <w:bCs/>
                <w:sz w:val="22"/>
                <w:szCs w:val="22"/>
                <w:lang w:val="en-US"/>
              </w:rPr>
              <w:t xml:space="preserve">Output, </w:t>
            </w:r>
            <w:r w:rsidRPr="00752B57">
              <w:rPr>
                <w:rFonts w:asciiTheme="minorHAnsi" w:hAnsiTheme="minorHAnsi"/>
                <w:bCs/>
                <w:sz w:val="22"/>
                <w:szCs w:val="22"/>
                <w:lang w:val="en-US"/>
              </w:rPr>
              <w:t>cumulative</w:t>
            </w:r>
          </w:p>
        </w:tc>
      </w:tr>
      <w:tr w:rsidR="00E47D8F" w:rsidRPr="009D0730" w14:paraId="7D3C70E2" w14:textId="77777777" w:rsidTr="00576D29">
        <w:trPr>
          <w:trHeight w:val="340"/>
        </w:trPr>
        <w:tc>
          <w:tcPr>
            <w:tcW w:w="15304"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1BB4AC23" w14:textId="324FA5E0" w:rsidR="00E47D8F" w:rsidRPr="00C44970" w:rsidRDefault="009D0730" w:rsidP="00E47D8F">
            <w:pPr>
              <w:spacing w:after="0" w:line="240" w:lineRule="auto"/>
              <w:rPr>
                <w:rFonts w:eastAsia="Times New Roman" w:cs="Times New Roman"/>
                <w:color w:val="000000"/>
                <w:lang w:val="en-GB" w:eastAsia="en-GB" w:bidi="ar-SA"/>
              </w:rPr>
            </w:pPr>
            <w:r>
              <w:rPr>
                <w:rFonts w:eastAsia="Times New Roman" w:cs="Times New Roman"/>
                <w:lang w:val="en-GB" w:eastAsia="en-GB" w:bidi="ar-SA"/>
              </w:rPr>
              <w:t xml:space="preserve">Indicator </w:t>
            </w:r>
            <w:r w:rsidR="00E47D8F" w:rsidRPr="00C44970">
              <w:rPr>
                <w:rFonts w:eastAsia="Times New Roman" w:cs="Times New Roman"/>
                <w:lang w:val="en-GB" w:eastAsia="en-GB" w:bidi="ar-SA"/>
              </w:rPr>
              <w:t>2.2.2: Pupil-qualified teacher ratio</w:t>
            </w:r>
          </w:p>
        </w:tc>
      </w:tr>
      <w:tr w:rsidR="00E47D8F" w:rsidRPr="00FA56CA" w14:paraId="1395B19A" w14:textId="77777777" w:rsidTr="00576D29">
        <w:trPr>
          <w:trHeight w:val="600"/>
        </w:trPr>
        <w:tc>
          <w:tcPr>
            <w:tcW w:w="15304" w:type="dxa"/>
            <w:tcBorders>
              <w:top w:val="single" w:sz="4" w:space="0" w:color="auto"/>
            </w:tcBorders>
            <w:shd w:val="clear" w:color="auto" w:fill="FFFFFF" w:themeFill="background1"/>
          </w:tcPr>
          <w:p w14:paraId="12C39AD2" w14:textId="77777777" w:rsidR="00E47D8F" w:rsidRPr="00C44970" w:rsidRDefault="00E47D8F" w:rsidP="00E47D8F">
            <w:pPr>
              <w:pStyle w:val="Default"/>
              <w:rPr>
                <w:rFonts w:asciiTheme="minorHAnsi" w:hAnsiTheme="minorHAnsi"/>
                <w:b/>
                <w:bCs/>
                <w:sz w:val="22"/>
                <w:szCs w:val="22"/>
                <w:lang w:val="en-US"/>
              </w:rPr>
            </w:pPr>
            <w:r w:rsidRPr="00C44970">
              <w:rPr>
                <w:rFonts w:asciiTheme="minorHAnsi" w:hAnsiTheme="minorHAnsi"/>
                <w:b/>
                <w:bCs/>
                <w:sz w:val="22"/>
                <w:szCs w:val="22"/>
                <w:lang w:val="en-US"/>
              </w:rPr>
              <w:t>Definition:</w:t>
            </w:r>
            <w:r w:rsidRPr="00C44970">
              <w:rPr>
                <w:rFonts w:asciiTheme="minorHAnsi" w:hAnsiTheme="minorHAnsi"/>
                <w:bCs/>
                <w:sz w:val="22"/>
                <w:szCs w:val="22"/>
                <w:lang w:val="en-US"/>
              </w:rPr>
              <w:t xml:space="preserve"> Number of enrolled students in supported educational institutions divided by the number of teachers qualified to national standards</w:t>
            </w:r>
            <w:r>
              <w:rPr>
                <w:rFonts w:asciiTheme="minorHAnsi" w:hAnsiTheme="minorHAnsi"/>
                <w:bCs/>
                <w:sz w:val="22"/>
                <w:szCs w:val="22"/>
                <w:lang w:val="en-US"/>
              </w:rPr>
              <w:t xml:space="preserve"> employed within those institutions</w:t>
            </w:r>
          </w:p>
          <w:p w14:paraId="5B099D6C" w14:textId="77777777" w:rsidR="00E47D8F" w:rsidRDefault="00E47D8F" w:rsidP="00E47D8F">
            <w:pPr>
              <w:spacing w:after="0" w:line="240" w:lineRule="auto"/>
              <w:rPr>
                <w:rFonts w:eastAsia="Times New Roman" w:cs="Times New Roman"/>
                <w:lang w:val="en-GB" w:eastAsia="en-GB" w:bidi="ar-SA"/>
              </w:rPr>
            </w:pPr>
          </w:p>
          <w:p w14:paraId="7CB31195" w14:textId="3F07A65B" w:rsidR="009D0730" w:rsidRDefault="009D0730" w:rsidP="00E47D8F">
            <w:pPr>
              <w:spacing w:after="0" w:line="240" w:lineRule="auto"/>
              <w:rPr>
                <w:rFonts w:eastAsia="Times New Roman" w:cs="Times New Roman"/>
                <w:lang w:val="en-GB" w:eastAsia="en-GB" w:bidi="ar-SA"/>
              </w:rPr>
            </w:pPr>
            <w:r w:rsidRPr="009D0730">
              <w:rPr>
                <w:rFonts w:eastAsia="Times New Roman" w:cs="Times New Roman"/>
                <w:b/>
                <w:lang w:val="en-GB" w:eastAsia="en-GB" w:bidi="ar-SA"/>
              </w:rPr>
              <w:t>Nominator:</w:t>
            </w:r>
            <w:r>
              <w:rPr>
                <w:rFonts w:eastAsia="Times New Roman" w:cs="Times New Roman"/>
                <w:lang w:val="en-GB" w:eastAsia="en-GB" w:bidi="ar-SA"/>
              </w:rPr>
              <w:t xml:space="preserve"> Number of students enrolled in supported educational institutions</w:t>
            </w:r>
          </w:p>
          <w:p w14:paraId="7517228F" w14:textId="56EE906D" w:rsidR="009D0730" w:rsidRPr="00C44970" w:rsidRDefault="009D0730" w:rsidP="00E47D8F">
            <w:pPr>
              <w:spacing w:after="0" w:line="240" w:lineRule="auto"/>
              <w:rPr>
                <w:rFonts w:eastAsia="Times New Roman" w:cs="Times New Roman"/>
                <w:lang w:val="en-GB" w:eastAsia="en-GB" w:bidi="ar-SA"/>
              </w:rPr>
            </w:pPr>
            <w:r w:rsidRPr="009D0730">
              <w:rPr>
                <w:rFonts w:eastAsia="Times New Roman" w:cs="Times New Roman"/>
                <w:b/>
                <w:lang w:val="en-GB" w:eastAsia="en-GB" w:bidi="ar-SA"/>
              </w:rPr>
              <w:t>Denominator:</w:t>
            </w:r>
            <w:r>
              <w:rPr>
                <w:rFonts w:eastAsia="Times New Roman" w:cs="Times New Roman"/>
                <w:lang w:val="en-GB" w:eastAsia="en-GB" w:bidi="ar-SA"/>
              </w:rPr>
              <w:t xml:space="preserve"> Number of teachers qualified to national standards employed within supported educational institutions. </w:t>
            </w:r>
          </w:p>
        </w:tc>
      </w:tr>
      <w:tr w:rsidR="00E47D8F" w:rsidRPr="00FA56CA" w14:paraId="04702344" w14:textId="77777777" w:rsidTr="00576D29">
        <w:trPr>
          <w:trHeight w:val="600"/>
        </w:trPr>
        <w:tc>
          <w:tcPr>
            <w:tcW w:w="15304" w:type="dxa"/>
            <w:shd w:val="clear" w:color="auto" w:fill="FFFFFF" w:themeFill="background1"/>
          </w:tcPr>
          <w:p w14:paraId="3A87BD26" w14:textId="2D2C79F1" w:rsidR="00E47D8F" w:rsidRPr="00C44970" w:rsidRDefault="00E47D8F" w:rsidP="009D0730">
            <w:pPr>
              <w:pStyle w:val="Default"/>
              <w:rPr>
                <w:rFonts w:eastAsia="Times New Roman" w:cs="Times New Roman"/>
                <w:lang w:val="en-GB" w:eastAsia="en-GB" w:bidi="ar-SA"/>
              </w:rPr>
            </w:pPr>
            <w:r w:rsidRPr="00C44970">
              <w:rPr>
                <w:rFonts w:asciiTheme="minorHAnsi" w:hAnsiTheme="minorHAnsi"/>
                <w:b/>
                <w:bCs/>
                <w:sz w:val="22"/>
                <w:szCs w:val="22"/>
                <w:lang w:val="en-US"/>
              </w:rPr>
              <w:t xml:space="preserve">Methodology: </w:t>
            </w:r>
            <w:r w:rsidRPr="00C44970">
              <w:rPr>
                <w:rFonts w:asciiTheme="minorHAnsi" w:hAnsiTheme="minorHAnsi"/>
                <w:bCs/>
                <w:sz w:val="22"/>
                <w:szCs w:val="22"/>
                <w:lang w:val="en-US"/>
              </w:rPr>
              <w:t xml:space="preserve">From national EMIS systems or based on school records in supported educational institutions. If these are not readily available for large projects this can be estimated through a sample survey of educational institutions. </w:t>
            </w:r>
          </w:p>
        </w:tc>
      </w:tr>
      <w:tr w:rsidR="009D0730" w:rsidRPr="00FA56CA" w14:paraId="586F30B1" w14:textId="77777777" w:rsidTr="00576D29">
        <w:trPr>
          <w:trHeight w:val="340"/>
        </w:trPr>
        <w:tc>
          <w:tcPr>
            <w:tcW w:w="15304" w:type="dxa"/>
            <w:tcBorders>
              <w:bottom w:val="single" w:sz="4" w:space="0" w:color="auto"/>
            </w:tcBorders>
            <w:shd w:val="clear" w:color="auto" w:fill="FFFFFF" w:themeFill="background1"/>
          </w:tcPr>
          <w:p w14:paraId="33FBA82A" w14:textId="6354AC27" w:rsidR="009D0730" w:rsidRPr="009D0730" w:rsidRDefault="009D0730" w:rsidP="00E47D8F">
            <w:pPr>
              <w:pStyle w:val="Default"/>
              <w:rPr>
                <w:rFonts w:asciiTheme="minorHAnsi" w:hAnsiTheme="minorHAnsi"/>
                <w:bCs/>
                <w:sz w:val="22"/>
                <w:szCs w:val="22"/>
                <w:lang w:val="en-US"/>
              </w:rPr>
            </w:pPr>
            <w:r>
              <w:rPr>
                <w:rFonts w:asciiTheme="minorHAnsi" w:hAnsiTheme="minorHAnsi"/>
                <w:b/>
                <w:bCs/>
                <w:sz w:val="22"/>
                <w:szCs w:val="22"/>
                <w:lang w:val="en-US"/>
              </w:rPr>
              <w:t xml:space="preserve">Type of indicator: </w:t>
            </w:r>
            <w:r>
              <w:rPr>
                <w:rFonts w:asciiTheme="minorHAnsi" w:hAnsiTheme="minorHAnsi"/>
                <w:bCs/>
                <w:sz w:val="22"/>
                <w:szCs w:val="22"/>
                <w:lang w:val="en-US"/>
              </w:rPr>
              <w:t xml:space="preserve">Output, not </w:t>
            </w:r>
            <w:r w:rsidRPr="00752B57">
              <w:rPr>
                <w:rFonts w:asciiTheme="minorHAnsi" w:hAnsiTheme="minorHAnsi"/>
                <w:bCs/>
                <w:sz w:val="22"/>
                <w:szCs w:val="22"/>
                <w:lang w:val="en-US"/>
              </w:rPr>
              <w:t>cumulative</w:t>
            </w:r>
          </w:p>
        </w:tc>
      </w:tr>
      <w:tr w:rsidR="00E47D8F" w:rsidRPr="00FA56CA" w14:paraId="3916BCCB" w14:textId="77777777" w:rsidTr="00576D29">
        <w:trPr>
          <w:trHeight w:val="340"/>
        </w:trPr>
        <w:tc>
          <w:tcPr>
            <w:tcW w:w="15304"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5D058D9E" w14:textId="11203C4F" w:rsidR="00E47D8F" w:rsidRPr="00C44970" w:rsidRDefault="009D0730" w:rsidP="009D0730">
            <w:pPr>
              <w:spacing w:after="0" w:line="240" w:lineRule="auto"/>
              <w:rPr>
                <w:rFonts w:eastAsia="Times New Roman" w:cs="Times New Roman"/>
                <w:color w:val="000000"/>
                <w:lang w:val="en-GB" w:eastAsia="en-GB" w:bidi="ar-SA"/>
              </w:rPr>
            </w:pPr>
            <w:r>
              <w:rPr>
                <w:rFonts w:eastAsia="Times New Roman" w:cs="Times New Roman"/>
                <w:color w:val="000000"/>
                <w:lang w:val="en-GB" w:eastAsia="en-GB" w:bidi="ar-SA"/>
              </w:rPr>
              <w:t xml:space="preserve">Indicator </w:t>
            </w:r>
            <w:r w:rsidR="00E47D8F" w:rsidRPr="00C44970">
              <w:rPr>
                <w:rFonts w:eastAsia="Times New Roman" w:cs="Times New Roman"/>
                <w:color w:val="000000"/>
                <w:lang w:val="en-GB" w:eastAsia="en-GB" w:bidi="ar-SA"/>
              </w:rPr>
              <w:t>2.2.3: # of teacher management policies and plans developed</w:t>
            </w:r>
            <w:r>
              <w:rPr>
                <w:rFonts w:eastAsia="Times New Roman" w:cs="Times New Roman"/>
                <w:color w:val="000000"/>
                <w:lang w:val="en-GB" w:eastAsia="en-GB" w:bidi="ar-SA"/>
              </w:rPr>
              <w:t xml:space="preserve"> or revised</w:t>
            </w:r>
            <w:r w:rsidR="00E47D8F" w:rsidRPr="00C44970">
              <w:rPr>
                <w:rFonts w:eastAsia="Times New Roman" w:cs="Times New Roman"/>
                <w:color w:val="000000"/>
                <w:lang w:val="en-GB" w:eastAsia="en-GB" w:bidi="ar-SA"/>
              </w:rPr>
              <w:t xml:space="preserve"> with support from </w:t>
            </w:r>
            <w:r>
              <w:rPr>
                <w:rFonts w:eastAsia="Times New Roman" w:cs="Times New Roman"/>
                <w:color w:val="000000"/>
                <w:lang w:val="en-GB" w:eastAsia="en-GB" w:bidi="ar-SA"/>
              </w:rPr>
              <w:t xml:space="preserve">programme/project. </w:t>
            </w:r>
          </w:p>
        </w:tc>
      </w:tr>
      <w:tr w:rsidR="00E47D8F" w:rsidRPr="00FA56CA" w14:paraId="427A7ECC" w14:textId="77777777" w:rsidTr="00576D29">
        <w:trPr>
          <w:trHeight w:val="600"/>
        </w:trPr>
        <w:tc>
          <w:tcPr>
            <w:tcW w:w="15304" w:type="dxa"/>
            <w:tcBorders>
              <w:top w:val="single" w:sz="4" w:space="0" w:color="auto"/>
            </w:tcBorders>
            <w:shd w:val="clear" w:color="auto" w:fill="auto"/>
          </w:tcPr>
          <w:p w14:paraId="35CBD75B" w14:textId="77777777" w:rsidR="00E47D8F" w:rsidRPr="00866A3F" w:rsidRDefault="009D0730" w:rsidP="00866A3F">
            <w:pPr>
              <w:spacing w:after="0" w:line="240" w:lineRule="auto"/>
              <w:rPr>
                <w:b/>
                <w:bCs/>
                <w:lang w:val="en-US"/>
              </w:rPr>
            </w:pPr>
            <w:r w:rsidRPr="00866A3F">
              <w:rPr>
                <w:b/>
                <w:bCs/>
                <w:lang w:val="en-US"/>
              </w:rPr>
              <w:t>Number of national/state/</w:t>
            </w:r>
            <w:r w:rsidR="00E47D8F" w:rsidRPr="00866A3F">
              <w:rPr>
                <w:b/>
                <w:bCs/>
                <w:lang w:val="en-US"/>
              </w:rPr>
              <w:t xml:space="preserve">provincial government policies and plans relating to aspects of teacher management which can include teacher supply, recruitment, remuneration and </w:t>
            </w:r>
            <w:r w:rsidRPr="00866A3F">
              <w:rPr>
                <w:b/>
                <w:bCs/>
                <w:lang w:val="en-US"/>
              </w:rPr>
              <w:t>well-being</w:t>
            </w:r>
            <w:r w:rsidR="00E47D8F" w:rsidRPr="00866A3F">
              <w:rPr>
                <w:b/>
                <w:bCs/>
                <w:lang w:val="en-US"/>
              </w:rPr>
              <w:t>, deployment, discipline (including codes of conduct), and/or</w:t>
            </w:r>
            <w:r w:rsidR="00866A3F" w:rsidRPr="00866A3F">
              <w:rPr>
                <w:b/>
                <w:bCs/>
                <w:lang w:val="en-US"/>
              </w:rPr>
              <w:t xml:space="preserve"> upgrading/ certification </w:t>
            </w:r>
            <w:r w:rsidR="00E47D8F" w:rsidRPr="00866A3F">
              <w:rPr>
                <w:b/>
                <w:bCs/>
                <w:lang w:val="en-US"/>
              </w:rPr>
              <w:t xml:space="preserve">developed </w:t>
            </w:r>
            <w:r w:rsidR="00866A3F" w:rsidRPr="00866A3F">
              <w:rPr>
                <w:b/>
                <w:bCs/>
                <w:lang w:val="en-US"/>
              </w:rPr>
              <w:t xml:space="preserve">or revised with support from programme/project. </w:t>
            </w:r>
          </w:p>
          <w:p w14:paraId="3B452DA7" w14:textId="77777777" w:rsidR="00866A3F" w:rsidRDefault="00866A3F" w:rsidP="00866A3F">
            <w:pPr>
              <w:spacing w:after="0" w:line="240" w:lineRule="auto"/>
              <w:rPr>
                <w:bCs/>
                <w:lang w:val="en-US"/>
              </w:rPr>
            </w:pPr>
          </w:p>
          <w:p w14:paraId="2BA7EF0C" w14:textId="77777777" w:rsidR="00866A3F" w:rsidRPr="00866A3F" w:rsidRDefault="00866A3F" w:rsidP="00866A3F">
            <w:pPr>
              <w:spacing w:after="0" w:line="240" w:lineRule="auto"/>
              <w:rPr>
                <w:b/>
                <w:bCs/>
                <w:lang w:val="en-US"/>
              </w:rPr>
            </w:pPr>
            <w:r w:rsidRPr="00866A3F">
              <w:rPr>
                <w:b/>
                <w:bCs/>
                <w:lang w:val="en-US"/>
              </w:rPr>
              <w:t xml:space="preserve">Definition: </w:t>
            </w:r>
          </w:p>
          <w:p w14:paraId="52DD037D" w14:textId="77777777" w:rsidR="00866A3F" w:rsidRDefault="00866A3F" w:rsidP="00866A3F">
            <w:pPr>
              <w:spacing w:after="0" w:line="240" w:lineRule="auto"/>
              <w:rPr>
                <w:bCs/>
                <w:lang w:val="en-US"/>
              </w:rPr>
            </w:pPr>
            <w:r>
              <w:rPr>
                <w:bCs/>
                <w:lang w:val="en-US"/>
              </w:rPr>
              <w:t xml:space="preserve">Revised: Substantial or key components have been changed or altered with support of programme/project. The gap analysis of target policies and plans should clearly identify what needs to be changed. Target policy/plan should not be deemed revised unless these gaps have been addressed in the updated document. </w:t>
            </w:r>
          </w:p>
          <w:p w14:paraId="38557BC8" w14:textId="6EDDED14" w:rsidR="00866A3F" w:rsidRPr="00C44970" w:rsidRDefault="00866A3F" w:rsidP="00866A3F">
            <w:pPr>
              <w:spacing w:after="0" w:line="240" w:lineRule="auto"/>
              <w:rPr>
                <w:rFonts w:eastAsia="Times New Roman" w:cs="Times New Roman"/>
                <w:color w:val="000000"/>
                <w:lang w:val="en-GB" w:eastAsia="en-GB" w:bidi="ar-SA"/>
              </w:rPr>
            </w:pPr>
          </w:p>
        </w:tc>
      </w:tr>
      <w:tr w:rsidR="00E47D8F" w:rsidRPr="00FA56CA" w14:paraId="10AEB3DC" w14:textId="77777777" w:rsidTr="00576D29">
        <w:trPr>
          <w:trHeight w:val="340"/>
        </w:trPr>
        <w:tc>
          <w:tcPr>
            <w:tcW w:w="15304" w:type="dxa"/>
            <w:shd w:val="clear" w:color="auto" w:fill="auto"/>
          </w:tcPr>
          <w:p w14:paraId="10791887" w14:textId="36AE5F95" w:rsidR="00E47D8F" w:rsidRPr="00C44970" w:rsidRDefault="00E47D8F" w:rsidP="00866A3F">
            <w:pPr>
              <w:pStyle w:val="Default"/>
              <w:rPr>
                <w:rFonts w:eastAsia="Times New Roman" w:cs="Times New Roman"/>
                <w:lang w:val="en-GB" w:eastAsia="en-GB" w:bidi="ar-SA"/>
              </w:rPr>
            </w:pPr>
            <w:r w:rsidRPr="00C44970">
              <w:rPr>
                <w:rFonts w:asciiTheme="minorHAnsi" w:hAnsiTheme="minorHAnsi"/>
                <w:b/>
                <w:bCs/>
                <w:sz w:val="22"/>
                <w:szCs w:val="22"/>
                <w:lang w:val="en-US"/>
              </w:rPr>
              <w:t xml:space="preserve">Methodology: </w:t>
            </w:r>
            <w:r w:rsidRPr="00C44970">
              <w:rPr>
                <w:rFonts w:asciiTheme="minorHAnsi" w:hAnsiTheme="minorHAnsi"/>
                <w:bCs/>
                <w:sz w:val="22"/>
                <w:szCs w:val="22"/>
                <w:lang w:val="en-US"/>
              </w:rPr>
              <w:t xml:space="preserve">Report for the year that the </w:t>
            </w:r>
            <w:r>
              <w:rPr>
                <w:rFonts w:asciiTheme="minorHAnsi" w:hAnsiTheme="minorHAnsi"/>
                <w:bCs/>
                <w:sz w:val="22"/>
                <w:szCs w:val="22"/>
                <w:lang w:val="en-US"/>
              </w:rPr>
              <w:t>policy/plan</w:t>
            </w:r>
            <w:r w:rsidRPr="00C44970">
              <w:rPr>
                <w:rFonts w:asciiTheme="minorHAnsi" w:hAnsiTheme="minorHAnsi"/>
                <w:bCs/>
                <w:sz w:val="22"/>
                <w:szCs w:val="22"/>
                <w:lang w:val="en-US"/>
              </w:rPr>
              <w:t xml:space="preserve"> is formally approved and published.</w:t>
            </w:r>
          </w:p>
        </w:tc>
      </w:tr>
      <w:tr w:rsidR="00866A3F" w:rsidRPr="00FA56CA" w14:paraId="636D9195" w14:textId="77777777" w:rsidTr="00576D29">
        <w:trPr>
          <w:trHeight w:val="340"/>
        </w:trPr>
        <w:tc>
          <w:tcPr>
            <w:tcW w:w="15304" w:type="dxa"/>
            <w:tcBorders>
              <w:bottom w:val="single" w:sz="4" w:space="0" w:color="auto"/>
            </w:tcBorders>
            <w:shd w:val="clear" w:color="auto" w:fill="auto"/>
          </w:tcPr>
          <w:p w14:paraId="0D9D37AD" w14:textId="0E460957" w:rsidR="00866A3F" w:rsidRPr="00C44970" w:rsidRDefault="00866A3F" w:rsidP="00866A3F">
            <w:pPr>
              <w:pStyle w:val="Default"/>
              <w:rPr>
                <w:rFonts w:asciiTheme="minorHAnsi" w:hAnsiTheme="minorHAnsi"/>
                <w:b/>
                <w:bCs/>
                <w:sz w:val="22"/>
                <w:szCs w:val="22"/>
                <w:lang w:val="en-US"/>
              </w:rPr>
            </w:pPr>
            <w:r>
              <w:rPr>
                <w:rFonts w:asciiTheme="minorHAnsi" w:hAnsiTheme="minorHAnsi"/>
                <w:b/>
                <w:bCs/>
                <w:sz w:val="22"/>
                <w:szCs w:val="22"/>
                <w:lang w:val="en-US"/>
              </w:rPr>
              <w:t xml:space="preserve">Type of indicator: </w:t>
            </w:r>
            <w:r>
              <w:rPr>
                <w:rFonts w:asciiTheme="minorHAnsi" w:hAnsiTheme="minorHAnsi"/>
                <w:bCs/>
                <w:sz w:val="22"/>
                <w:szCs w:val="22"/>
                <w:lang w:val="en-US"/>
              </w:rPr>
              <w:t xml:space="preserve">Output, </w:t>
            </w:r>
            <w:r w:rsidRPr="00752B57">
              <w:rPr>
                <w:rFonts w:asciiTheme="minorHAnsi" w:hAnsiTheme="minorHAnsi"/>
                <w:bCs/>
                <w:sz w:val="22"/>
                <w:szCs w:val="22"/>
                <w:lang w:val="en-US"/>
              </w:rPr>
              <w:t>cumulative</w:t>
            </w:r>
          </w:p>
        </w:tc>
      </w:tr>
      <w:tr w:rsidR="00866A3F" w:rsidRPr="00FA56CA" w14:paraId="63161CD6" w14:textId="77777777" w:rsidTr="00576D29">
        <w:trPr>
          <w:trHeight w:val="397"/>
        </w:trPr>
        <w:tc>
          <w:tcPr>
            <w:tcW w:w="15304"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1936B6F9" w14:textId="69930DE9" w:rsidR="00866A3F" w:rsidRPr="00C44970" w:rsidRDefault="00866A3F" w:rsidP="00866A3F">
            <w:pPr>
              <w:spacing w:after="0" w:line="240" w:lineRule="auto"/>
              <w:rPr>
                <w:rFonts w:eastAsia="Times New Roman" w:cs="Times New Roman"/>
                <w:color w:val="000000"/>
                <w:lang w:val="en-GB" w:eastAsia="en-GB" w:bidi="ar-SA"/>
              </w:rPr>
            </w:pPr>
            <w:r>
              <w:rPr>
                <w:rFonts w:eastAsia="Times New Roman" w:cs="Times New Roman"/>
                <w:color w:val="000000"/>
                <w:lang w:val="en-GB" w:eastAsia="en-GB" w:bidi="ar-SA"/>
              </w:rPr>
              <w:t xml:space="preserve">Indicator </w:t>
            </w:r>
            <w:r w:rsidRPr="00C44970">
              <w:rPr>
                <w:rFonts w:eastAsia="Times New Roman" w:cs="Times New Roman"/>
                <w:color w:val="000000"/>
                <w:lang w:val="en-GB" w:eastAsia="en-GB" w:bidi="ar-SA"/>
              </w:rPr>
              <w:t xml:space="preserve">2.2.4: </w:t>
            </w:r>
            <w:r>
              <w:rPr>
                <w:rFonts w:eastAsia="Times New Roman" w:cs="Times New Roman"/>
                <w:color w:val="000000"/>
                <w:lang w:val="en-GB" w:eastAsia="en-GB" w:bidi="ar-SA"/>
              </w:rPr>
              <w:t xml:space="preserve">% and </w:t>
            </w:r>
            <w:r w:rsidRPr="00C44970">
              <w:rPr>
                <w:rFonts w:eastAsia="Times New Roman" w:cs="Times New Roman"/>
                <w:color w:val="000000"/>
                <w:lang w:val="en-GB" w:eastAsia="en-GB" w:bidi="ar-SA"/>
              </w:rPr>
              <w:t xml:space="preserve"># of </w:t>
            </w:r>
            <w:r>
              <w:rPr>
                <w:rFonts w:eastAsia="Times New Roman" w:cs="Times New Roman"/>
                <w:color w:val="000000"/>
                <w:lang w:val="en-GB" w:eastAsia="en-GB" w:bidi="ar-SA"/>
              </w:rPr>
              <w:t>target</w:t>
            </w:r>
            <w:r w:rsidRPr="00C44970">
              <w:rPr>
                <w:rFonts w:eastAsia="Times New Roman" w:cs="Times New Roman"/>
                <w:color w:val="000000"/>
                <w:lang w:val="en-GB" w:eastAsia="en-GB" w:bidi="ar-SA"/>
              </w:rPr>
              <w:t xml:space="preserve"> educational institutions visited by inspector/supervisor one or more times in last school year.</w:t>
            </w:r>
          </w:p>
        </w:tc>
      </w:tr>
      <w:tr w:rsidR="00866A3F" w:rsidRPr="00FA56CA" w14:paraId="5BD64F7B" w14:textId="77777777" w:rsidTr="00576D29">
        <w:trPr>
          <w:trHeight w:val="600"/>
        </w:trPr>
        <w:tc>
          <w:tcPr>
            <w:tcW w:w="15304" w:type="dxa"/>
            <w:tcBorders>
              <w:top w:val="single" w:sz="4" w:space="0" w:color="auto"/>
            </w:tcBorders>
            <w:shd w:val="clear" w:color="auto" w:fill="auto"/>
          </w:tcPr>
          <w:p w14:paraId="68F377D2" w14:textId="4A996977" w:rsidR="00576D29" w:rsidRDefault="00576D29" w:rsidP="00866A3F">
            <w:pPr>
              <w:pStyle w:val="Default"/>
              <w:rPr>
                <w:rFonts w:asciiTheme="minorHAnsi" w:hAnsiTheme="minorHAnsi"/>
                <w:b/>
                <w:bCs/>
                <w:sz w:val="22"/>
                <w:szCs w:val="22"/>
                <w:lang w:val="en-US"/>
              </w:rPr>
            </w:pPr>
            <w:r>
              <w:rPr>
                <w:rFonts w:asciiTheme="minorHAnsi" w:hAnsiTheme="minorHAnsi"/>
                <w:b/>
                <w:bCs/>
                <w:sz w:val="22"/>
                <w:szCs w:val="22"/>
                <w:lang w:val="en-US"/>
              </w:rPr>
              <w:t xml:space="preserve">Proportion of supported educational institutions that received at least one visit by a government inspector or supervisor in the last school year. For non-formal schools in emergency settings the inspector or supervisor can also be from a non-government entity. </w:t>
            </w:r>
          </w:p>
          <w:p w14:paraId="7A6FC71B" w14:textId="77777777" w:rsidR="00576D29" w:rsidRDefault="00576D29" w:rsidP="00866A3F">
            <w:pPr>
              <w:pStyle w:val="Default"/>
              <w:rPr>
                <w:rFonts w:asciiTheme="minorHAnsi" w:hAnsiTheme="minorHAnsi"/>
                <w:b/>
                <w:bCs/>
                <w:sz w:val="22"/>
                <w:szCs w:val="22"/>
                <w:lang w:val="en-US"/>
              </w:rPr>
            </w:pPr>
          </w:p>
          <w:p w14:paraId="625D284A" w14:textId="0DE01788" w:rsidR="00866A3F" w:rsidRPr="00C44970" w:rsidRDefault="00866A3F" w:rsidP="00866A3F">
            <w:pPr>
              <w:pStyle w:val="Default"/>
              <w:rPr>
                <w:rFonts w:asciiTheme="minorHAnsi" w:hAnsiTheme="minorHAnsi"/>
                <w:b/>
                <w:bCs/>
                <w:sz w:val="22"/>
                <w:szCs w:val="22"/>
                <w:lang w:val="en-US"/>
              </w:rPr>
            </w:pPr>
            <w:r w:rsidRPr="00C44970">
              <w:rPr>
                <w:rFonts w:asciiTheme="minorHAnsi" w:hAnsiTheme="minorHAnsi"/>
                <w:b/>
                <w:bCs/>
                <w:sz w:val="22"/>
                <w:szCs w:val="22"/>
                <w:lang w:val="en-US"/>
              </w:rPr>
              <w:t xml:space="preserve">Definition: </w:t>
            </w:r>
            <w:r w:rsidRPr="00C44970">
              <w:rPr>
                <w:rFonts w:asciiTheme="minorHAnsi" w:hAnsiTheme="minorHAnsi"/>
                <w:bCs/>
                <w:sz w:val="22"/>
                <w:szCs w:val="22"/>
                <w:lang w:val="en-US"/>
              </w:rPr>
              <w:t>Number of</w:t>
            </w:r>
            <w:r w:rsidRPr="00C44970">
              <w:rPr>
                <w:rFonts w:asciiTheme="minorHAnsi" w:hAnsiTheme="minorHAnsi"/>
                <w:b/>
                <w:bCs/>
                <w:sz w:val="22"/>
                <w:szCs w:val="22"/>
                <w:lang w:val="en-US"/>
              </w:rPr>
              <w:t xml:space="preserve"> </w:t>
            </w:r>
            <w:r w:rsidRPr="00C44970">
              <w:rPr>
                <w:rFonts w:asciiTheme="minorHAnsi" w:eastAsia="Times New Roman" w:hAnsiTheme="minorHAnsi" w:cs="Times New Roman"/>
                <w:sz w:val="22"/>
                <w:szCs w:val="22"/>
                <w:lang w:val="en-GB" w:eastAsia="en-GB" w:bidi="ar-SA"/>
              </w:rPr>
              <w:t>supported educational institutions receiving at least one visit by a government inspector/ supervisor during the reporting year</w:t>
            </w:r>
          </w:p>
          <w:p w14:paraId="2ADF83F6" w14:textId="0DF8F176" w:rsidR="00866A3F" w:rsidRPr="00C44970" w:rsidRDefault="00866A3F" w:rsidP="00866A3F">
            <w:pPr>
              <w:spacing w:after="0" w:line="240" w:lineRule="auto"/>
              <w:rPr>
                <w:rFonts w:eastAsia="Times New Roman" w:cs="Times New Roman"/>
                <w:color w:val="000000"/>
                <w:lang w:val="en-GB" w:eastAsia="en-GB" w:bidi="ar-SA"/>
              </w:rPr>
            </w:pPr>
            <w:r w:rsidRPr="00C44970">
              <w:rPr>
                <w:b/>
                <w:bCs/>
                <w:lang w:val="en-US"/>
              </w:rPr>
              <w:t xml:space="preserve">Denominator: </w:t>
            </w:r>
            <w:r w:rsidR="00576D29">
              <w:rPr>
                <w:bCs/>
                <w:lang w:val="en-US"/>
              </w:rPr>
              <w:t>N</w:t>
            </w:r>
            <w:r w:rsidRPr="00C44970">
              <w:rPr>
                <w:bCs/>
                <w:lang w:val="en-US"/>
              </w:rPr>
              <w:t xml:space="preserve">umber of </w:t>
            </w:r>
            <w:r w:rsidRPr="00C44970">
              <w:rPr>
                <w:rFonts w:eastAsia="Times New Roman" w:cs="Times New Roman"/>
                <w:color w:val="000000"/>
                <w:lang w:val="en-GB" w:eastAsia="en-GB" w:bidi="ar-SA"/>
              </w:rPr>
              <w:t>supported educational institutions</w:t>
            </w:r>
          </w:p>
        </w:tc>
      </w:tr>
      <w:tr w:rsidR="00866A3F" w:rsidRPr="00576D29" w14:paraId="5E0D1DA0" w14:textId="77777777" w:rsidTr="00576D29">
        <w:trPr>
          <w:trHeight w:val="600"/>
        </w:trPr>
        <w:tc>
          <w:tcPr>
            <w:tcW w:w="15304" w:type="dxa"/>
            <w:shd w:val="clear" w:color="auto" w:fill="auto"/>
          </w:tcPr>
          <w:p w14:paraId="47B3F6BA" w14:textId="6CCD0C1D" w:rsidR="00866A3F" w:rsidRPr="00C44970" w:rsidRDefault="00866A3F" w:rsidP="00866A3F">
            <w:pPr>
              <w:spacing w:after="0" w:line="240" w:lineRule="auto"/>
              <w:rPr>
                <w:rFonts w:eastAsia="Times New Roman" w:cs="Times New Roman"/>
                <w:color w:val="000000"/>
                <w:lang w:val="en-GB" w:eastAsia="en-GB" w:bidi="ar-SA"/>
              </w:rPr>
            </w:pPr>
            <w:r w:rsidRPr="00C44970">
              <w:rPr>
                <w:b/>
                <w:bCs/>
                <w:lang w:val="en-US"/>
              </w:rPr>
              <w:t xml:space="preserve">Methodology: </w:t>
            </w:r>
            <w:r w:rsidRPr="00C44970">
              <w:rPr>
                <w:bCs/>
                <w:lang w:val="en-US"/>
              </w:rPr>
              <w:t>based on school records in supported educational institutions. If these are not readily available for large projects this can be estimated through a sample survey of supported educational institutions</w:t>
            </w:r>
            <w:r w:rsidR="00576D29">
              <w:rPr>
                <w:bCs/>
                <w:lang w:val="en-US"/>
              </w:rPr>
              <w:t>.</w:t>
            </w:r>
          </w:p>
        </w:tc>
      </w:tr>
      <w:tr w:rsidR="00576D29" w:rsidRPr="00576D29" w14:paraId="69A5F891" w14:textId="77777777" w:rsidTr="00576D29">
        <w:trPr>
          <w:trHeight w:val="340"/>
        </w:trPr>
        <w:tc>
          <w:tcPr>
            <w:tcW w:w="15304" w:type="dxa"/>
            <w:tcBorders>
              <w:bottom w:val="single" w:sz="6" w:space="0" w:color="auto"/>
            </w:tcBorders>
            <w:shd w:val="clear" w:color="auto" w:fill="auto"/>
          </w:tcPr>
          <w:p w14:paraId="2A314351" w14:textId="77777777" w:rsidR="00576D29" w:rsidRDefault="00576D29" w:rsidP="00866A3F">
            <w:pPr>
              <w:spacing w:after="0" w:line="240" w:lineRule="auto"/>
              <w:rPr>
                <w:bCs/>
                <w:lang w:val="en-US"/>
              </w:rPr>
            </w:pPr>
            <w:r>
              <w:rPr>
                <w:b/>
                <w:bCs/>
                <w:lang w:val="en-US"/>
              </w:rPr>
              <w:t xml:space="preserve">Type of indicator: </w:t>
            </w:r>
            <w:r>
              <w:rPr>
                <w:bCs/>
                <w:lang w:val="en-US"/>
              </w:rPr>
              <w:t xml:space="preserve">Output, not </w:t>
            </w:r>
            <w:r w:rsidRPr="00752B57">
              <w:rPr>
                <w:bCs/>
                <w:lang w:val="en-US"/>
              </w:rPr>
              <w:t>cumulative</w:t>
            </w:r>
          </w:p>
          <w:p w14:paraId="7815713C" w14:textId="48882647" w:rsidR="00576D29" w:rsidRPr="00C44970" w:rsidRDefault="00576D29" w:rsidP="00866A3F">
            <w:pPr>
              <w:spacing w:after="0" w:line="240" w:lineRule="auto"/>
              <w:rPr>
                <w:b/>
                <w:bCs/>
                <w:lang w:val="en-US"/>
              </w:rPr>
            </w:pPr>
          </w:p>
        </w:tc>
      </w:tr>
      <w:tr w:rsidR="00866A3F" w:rsidRPr="00FA56CA" w14:paraId="3B66EE52" w14:textId="77777777" w:rsidTr="00576D29">
        <w:trPr>
          <w:cantSplit/>
          <w:trHeight w:val="567"/>
        </w:trPr>
        <w:tc>
          <w:tcPr>
            <w:tcW w:w="15304" w:type="dxa"/>
            <w:tcBorders>
              <w:top w:val="single" w:sz="6" w:space="0" w:color="auto"/>
              <w:left w:val="single" w:sz="6" w:space="0" w:color="auto"/>
              <w:bottom w:val="single" w:sz="6" w:space="0" w:color="auto"/>
              <w:right w:val="single" w:sz="6" w:space="0" w:color="auto"/>
            </w:tcBorders>
            <w:shd w:val="clear" w:color="auto" w:fill="F4B083" w:themeFill="accent2" w:themeFillTint="99"/>
            <w:vAlign w:val="center"/>
          </w:tcPr>
          <w:p w14:paraId="18316E73" w14:textId="0C06CBFD" w:rsidR="00866A3F" w:rsidRPr="00C44970" w:rsidRDefault="00866A3F" w:rsidP="00866A3F">
            <w:pPr>
              <w:spacing w:after="0" w:line="240" w:lineRule="auto"/>
              <w:rPr>
                <w:rFonts w:eastAsia="Times New Roman" w:cs="Times New Roman"/>
                <w:color w:val="FFFFFF" w:themeColor="background1"/>
                <w:lang w:val="en-GB" w:eastAsia="en-GB" w:bidi="ar-SA"/>
              </w:rPr>
            </w:pPr>
            <w:r w:rsidRPr="00576D29">
              <w:rPr>
                <w:rFonts w:eastAsia="Times New Roman" w:cs="Times New Roman"/>
                <w:b/>
                <w:bCs/>
                <w:lang w:val="en-GB" w:eastAsia="en-GB" w:bidi="ar-SA"/>
              </w:rPr>
              <w:t xml:space="preserve">Programme objective 3: </w:t>
            </w:r>
            <w:r w:rsidRPr="00576D29">
              <w:rPr>
                <w:rFonts w:eastAsia="Times New Roman" w:cs="Times New Roman"/>
                <w:lang w:val="en-GB" w:eastAsia="en-GB" w:bidi="ar-SA"/>
              </w:rPr>
              <w:t>Young people develop skills that enable them to find gainful employment</w:t>
            </w:r>
          </w:p>
        </w:tc>
      </w:tr>
      <w:tr w:rsidR="00866A3F" w:rsidRPr="00FA56CA" w14:paraId="60A696AD" w14:textId="77777777" w:rsidTr="00A53C7F">
        <w:trPr>
          <w:cantSplit/>
        </w:trPr>
        <w:tc>
          <w:tcPr>
            <w:tcW w:w="15304" w:type="dxa"/>
            <w:tcBorders>
              <w:top w:val="single" w:sz="6" w:space="0" w:color="auto"/>
              <w:left w:val="single" w:sz="6" w:space="0" w:color="auto"/>
              <w:bottom w:val="single" w:sz="4" w:space="0" w:color="auto"/>
              <w:right w:val="single" w:sz="6" w:space="0" w:color="auto"/>
            </w:tcBorders>
            <w:shd w:val="clear" w:color="auto" w:fill="A8D08D" w:themeFill="accent6" w:themeFillTint="99"/>
            <w:vAlign w:val="center"/>
            <w:hideMark/>
          </w:tcPr>
          <w:p w14:paraId="76D190A2" w14:textId="6CBE8B08" w:rsidR="00866A3F" w:rsidRPr="00C44970" w:rsidRDefault="00576D29" w:rsidP="00A53C7F">
            <w:pPr>
              <w:spacing w:after="0" w:line="240" w:lineRule="auto"/>
              <w:rPr>
                <w:rFonts w:eastAsia="Times New Roman" w:cs="Times New Roman"/>
                <w:color w:val="000000"/>
                <w:lang w:val="en-GB" w:eastAsia="en-GB" w:bidi="ar-SA"/>
              </w:rPr>
            </w:pPr>
            <w:r>
              <w:rPr>
                <w:rFonts w:eastAsia="Times New Roman" w:cs="Times New Roman"/>
                <w:color w:val="000000"/>
                <w:lang w:val="en-US" w:eastAsia="en-GB" w:bidi="ar-SA"/>
              </w:rPr>
              <w:t xml:space="preserve">Indicator </w:t>
            </w:r>
            <w:r>
              <w:rPr>
                <w:rFonts w:eastAsia="Times New Roman" w:cs="Times New Roman"/>
                <w:color w:val="000000"/>
                <w:lang w:val="en-GB" w:eastAsia="en-GB" w:bidi="ar-SA"/>
              </w:rPr>
              <w:t xml:space="preserve">3.1: </w:t>
            </w:r>
            <w:r w:rsidRPr="00576D29">
              <w:rPr>
                <w:rFonts w:eastAsia="Times New Roman" w:cs="Times New Roman"/>
                <w:color w:val="000000"/>
                <w:lang w:val="en-GB" w:eastAsia="en-GB" w:bidi="ar-SA"/>
              </w:rPr>
              <w:t>% and # of students who are</w:t>
            </w:r>
            <w:r w:rsidR="00A53C7F">
              <w:rPr>
                <w:rFonts w:eastAsia="Times New Roman" w:cs="Times New Roman"/>
                <w:color w:val="000000"/>
                <w:lang w:val="en-GB" w:eastAsia="en-GB" w:bidi="ar-SA"/>
              </w:rPr>
              <w:t xml:space="preserve"> generating their own income</w:t>
            </w:r>
            <w:r w:rsidRPr="00576D29">
              <w:rPr>
                <w:rFonts w:eastAsia="Times New Roman" w:cs="Times New Roman"/>
                <w:color w:val="000000"/>
                <w:lang w:val="en-GB" w:eastAsia="en-GB" w:bidi="ar-SA"/>
              </w:rPr>
              <w:t>/in tertiary education after completing upper secondary education or v</w:t>
            </w:r>
            <w:r w:rsidR="00A53C7F">
              <w:rPr>
                <w:rFonts w:eastAsia="Times New Roman" w:cs="Times New Roman"/>
                <w:color w:val="000000"/>
                <w:lang w:val="en-GB" w:eastAsia="en-GB" w:bidi="ar-SA"/>
              </w:rPr>
              <w:t xml:space="preserve">ocational training in target </w:t>
            </w:r>
            <w:r w:rsidRPr="00576D29">
              <w:rPr>
                <w:rFonts w:eastAsia="Times New Roman" w:cs="Times New Roman"/>
                <w:color w:val="000000"/>
                <w:lang w:val="en-GB" w:eastAsia="en-GB" w:bidi="ar-SA"/>
              </w:rPr>
              <w:t>educational institutions</w:t>
            </w:r>
            <w:r w:rsidR="00094F3A">
              <w:rPr>
                <w:rFonts w:eastAsia="Times New Roman" w:cs="Times New Roman"/>
                <w:color w:val="000000"/>
                <w:lang w:val="en-GB" w:eastAsia="en-GB" w:bidi="ar-SA"/>
              </w:rPr>
              <w:t xml:space="preserve"> (s</w:t>
            </w:r>
            <w:r w:rsidR="00094F3A" w:rsidRPr="00094F3A">
              <w:rPr>
                <w:rFonts w:eastAsia="Times New Roman" w:cs="Times New Roman"/>
                <w:color w:val="000000"/>
                <w:lang w:val="en-GB" w:eastAsia="en-GB" w:bidi="ar-SA"/>
              </w:rPr>
              <w:t>ex</w:t>
            </w:r>
            <w:r w:rsidR="00094F3A">
              <w:rPr>
                <w:rFonts w:eastAsia="Times New Roman" w:cs="Times New Roman"/>
                <w:color w:val="000000"/>
                <w:lang w:val="en-GB" w:eastAsia="en-GB" w:bidi="ar-SA"/>
              </w:rPr>
              <w:t>, w</w:t>
            </w:r>
            <w:r w:rsidR="00094F3A" w:rsidRPr="00094F3A">
              <w:rPr>
                <w:rFonts w:eastAsia="Times New Roman" w:cs="Times New Roman"/>
                <w:color w:val="000000"/>
                <w:lang w:val="en-GB" w:eastAsia="en-GB" w:bidi="ar-SA"/>
              </w:rPr>
              <w:t>ork/tertiary education</w:t>
            </w:r>
            <w:r w:rsidR="00AB34E6">
              <w:rPr>
                <w:rFonts w:eastAsia="Times New Roman" w:cs="Times New Roman"/>
                <w:color w:val="000000"/>
                <w:lang w:val="en-GB" w:eastAsia="en-GB" w:bidi="ar-SA"/>
              </w:rPr>
              <w:t>)</w:t>
            </w:r>
          </w:p>
        </w:tc>
      </w:tr>
      <w:tr w:rsidR="00866A3F" w:rsidRPr="00FA56CA" w14:paraId="540A61CA" w14:textId="77777777" w:rsidTr="00A53C7F">
        <w:trPr>
          <w:cantSplit/>
        </w:trPr>
        <w:tc>
          <w:tcPr>
            <w:tcW w:w="15304" w:type="dxa"/>
            <w:tcBorders>
              <w:top w:val="single" w:sz="4" w:space="0" w:color="auto"/>
              <w:left w:val="single" w:sz="4" w:space="0" w:color="auto"/>
              <w:bottom w:val="nil"/>
              <w:right w:val="single" w:sz="4" w:space="0" w:color="auto"/>
            </w:tcBorders>
            <w:shd w:val="clear" w:color="auto" w:fill="FFFFFF" w:themeFill="background1"/>
          </w:tcPr>
          <w:p w14:paraId="66BA4776" w14:textId="423A6CA5" w:rsidR="005A1CCA" w:rsidRDefault="005A1CCA" w:rsidP="00866A3F">
            <w:pPr>
              <w:pStyle w:val="Default"/>
              <w:rPr>
                <w:rFonts w:asciiTheme="minorHAnsi" w:hAnsiTheme="minorHAnsi"/>
                <w:b/>
                <w:bCs/>
                <w:sz w:val="22"/>
                <w:szCs w:val="22"/>
                <w:lang w:val="en-US"/>
              </w:rPr>
            </w:pPr>
            <w:r>
              <w:rPr>
                <w:rFonts w:asciiTheme="minorHAnsi" w:hAnsiTheme="minorHAnsi"/>
                <w:b/>
                <w:bCs/>
                <w:sz w:val="22"/>
                <w:szCs w:val="22"/>
                <w:lang w:val="en-US"/>
              </w:rPr>
              <w:t>Proportion and number of students that complete upper secondary or vocational training in supported educational ins</w:t>
            </w:r>
            <w:r w:rsidR="00094F3A">
              <w:rPr>
                <w:rFonts w:asciiTheme="minorHAnsi" w:hAnsiTheme="minorHAnsi"/>
                <w:b/>
                <w:bCs/>
                <w:sz w:val="22"/>
                <w:szCs w:val="22"/>
                <w:lang w:val="en-US"/>
              </w:rPr>
              <w:t>titutions</w:t>
            </w:r>
            <w:r>
              <w:rPr>
                <w:rFonts w:asciiTheme="minorHAnsi" w:hAnsiTheme="minorHAnsi"/>
                <w:b/>
                <w:bCs/>
                <w:sz w:val="22"/>
                <w:szCs w:val="22"/>
                <w:lang w:val="en-US"/>
              </w:rPr>
              <w:t xml:space="preserve"> </w:t>
            </w:r>
            <w:r w:rsidR="00094F3A">
              <w:rPr>
                <w:rFonts w:asciiTheme="minorHAnsi" w:hAnsiTheme="minorHAnsi"/>
                <w:b/>
                <w:bCs/>
                <w:sz w:val="22"/>
                <w:szCs w:val="22"/>
                <w:lang w:val="en-US"/>
              </w:rPr>
              <w:t xml:space="preserve">who are </w:t>
            </w:r>
            <w:r w:rsidR="00A53C7F">
              <w:rPr>
                <w:rFonts w:asciiTheme="minorHAnsi" w:hAnsiTheme="minorHAnsi"/>
                <w:b/>
                <w:bCs/>
                <w:sz w:val="22"/>
                <w:szCs w:val="22"/>
                <w:lang w:val="en-US"/>
              </w:rPr>
              <w:t xml:space="preserve">enrolled in a tertiary institution or </w:t>
            </w:r>
            <w:r w:rsidR="00094F3A">
              <w:rPr>
                <w:rFonts w:asciiTheme="minorHAnsi" w:hAnsiTheme="minorHAnsi"/>
                <w:b/>
                <w:bCs/>
                <w:sz w:val="22"/>
                <w:szCs w:val="22"/>
                <w:lang w:val="en-US"/>
              </w:rPr>
              <w:t xml:space="preserve">generating their own income/livelihoods within a set time after completing their education. </w:t>
            </w:r>
          </w:p>
          <w:p w14:paraId="78432CBC" w14:textId="77777777" w:rsidR="00094F3A" w:rsidRDefault="00094F3A" w:rsidP="00866A3F">
            <w:pPr>
              <w:pStyle w:val="Default"/>
              <w:rPr>
                <w:rFonts w:asciiTheme="minorHAnsi" w:hAnsiTheme="minorHAnsi"/>
                <w:b/>
                <w:bCs/>
                <w:sz w:val="22"/>
                <w:szCs w:val="22"/>
                <w:lang w:val="en-US"/>
              </w:rPr>
            </w:pPr>
          </w:p>
          <w:p w14:paraId="699B44C9" w14:textId="77777777" w:rsidR="00094F3A" w:rsidRDefault="00866A3F" w:rsidP="00866A3F">
            <w:pPr>
              <w:pStyle w:val="Default"/>
              <w:rPr>
                <w:rFonts w:asciiTheme="minorHAnsi" w:hAnsiTheme="minorHAnsi"/>
                <w:b/>
                <w:bCs/>
                <w:sz w:val="22"/>
                <w:szCs w:val="22"/>
                <w:lang w:val="en-US"/>
              </w:rPr>
            </w:pPr>
            <w:r w:rsidRPr="00C44970">
              <w:rPr>
                <w:rFonts w:asciiTheme="minorHAnsi" w:hAnsiTheme="minorHAnsi"/>
                <w:b/>
                <w:bCs/>
                <w:sz w:val="22"/>
                <w:szCs w:val="22"/>
                <w:lang w:val="en-US"/>
              </w:rPr>
              <w:t xml:space="preserve">Definition: </w:t>
            </w:r>
          </w:p>
          <w:p w14:paraId="71EF668D" w14:textId="48F9B9EB" w:rsidR="00866A3F" w:rsidRPr="00C44970" w:rsidRDefault="00094F3A" w:rsidP="00866A3F">
            <w:pPr>
              <w:pStyle w:val="Default"/>
              <w:rPr>
                <w:rFonts w:asciiTheme="minorHAnsi" w:hAnsiTheme="minorHAnsi"/>
                <w:b/>
                <w:bCs/>
                <w:sz w:val="22"/>
                <w:szCs w:val="22"/>
                <w:lang w:val="en-US"/>
              </w:rPr>
            </w:pPr>
            <w:r>
              <w:rPr>
                <w:rFonts w:asciiTheme="minorHAnsi" w:hAnsiTheme="minorHAnsi"/>
                <w:b/>
                <w:bCs/>
                <w:sz w:val="22"/>
                <w:szCs w:val="22"/>
                <w:lang w:val="en-US"/>
              </w:rPr>
              <w:t xml:space="preserve">Generating income: </w:t>
            </w:r>
            <w:r w:rsidRPr="00094F3A">
              <w:rPr>
                <w:rFonts w:asciiTheme="minorHAnsi" w:hAnsiTheme="minorHAnsi"/>
                <w:bCs/>
                <w:sz w:val="22"/>
                <w:szCs w:val="22"/>
                <w:lang w:val="en-US"/>
              </w:rPr>
              <w:t>a</w:t>
            </w:r>
            <w:r w:rsidR="00866A3F" w:rsidRPr="00C44970">
              <w:rPr>
                <w:rFonts w:asciiTheme="minorHAnsi" w:hAnsiTheme="minorHAnsi"/>
                <w:bCs/>
                <w:sz w:val="22"/>
                <w:szCs w:val="22"/>
                <w:lang w:val="en-US"/>
              </w:rPr>
              <w:t>re either in:  a) paid employment or b) self-employment</w:t>
            </w:r>
            <w:r>
              <w:rPr>
                <w:rFonts w:asciiTheme="minorHAnsi" w:hAnsiTheme="minorHAnsi"/>
                <w:bCs/>
                <w:sz w:val="22"/>
                <w:szCs w:val="22"/>
                <w:lang w:val="en-US"/>
              </w:rPr>
              <w:t xml:space="preserve"> (including livelihoods generation)</w:t>
            </w:r>
            <w:r w:rsidR="00AB34E6">
              <w:rPr>
                <w:rFonts w:asciiTheme="minorHAnsi" w:hAnsiTheme="minorHAnsi"/>
                <w:bCs/>
                <w:sz w:val="22"/>
                <w:szCs w:val="22"/>
                <w:lang w:val="en-US"/>
              </w:rPr>
              <w:t>. The students will have had to have generated their own income at minimum number of days</w:t>
            </w:r>
            <w:r w:rsidR="00A53C7F">
              <w:rPr>
                <w:rFonts w:asciiTheme="minorHAnsi" w:hAnsiTheme="minorHAnsi"/>
                <w:bCs/>
                <w:sz w:val="22"/>
                <w:szCs w:val="22"/>
                <w:lang w:val="en-US"/>
              </w:rPr>
              <w:t xml:space="preserve">/weeks ahead of them being traced. If existing government set standards should be used for determining the minimum number of days. If not the partners can themselves determine the minimum period of time. </w:t>
            </w:r>
          </w:p>
          <w:p w14:paraId="646FC243" w14:textId="171A3E33" w:rsidR="00094F3A" w:rsidRDefault="00094F3A" w:rsidP="00866A3F">
            <w:pPr>
              <w:pStyle w:val="Default"/>
              <w:rPr>
                <w:rFonts w:asciiTheme="minorHAnsi" w:hAnsiTheme="minorHAnsi"/>
                <w:b/>
                <w:bCs/>
                <w:sz w:val="22"/>
                <w:szCs w:val="22"/>
                <w:lang w:val="en-US"/>
              </w:rPr>
            </w:pPr>
            <w:r>
              <w:rPr>
                <w:rFonts w:asciiTheme="minorHAnsi" w:hAnsiTheme="minorHAnsi"/>
                <w:b/>
                <w:bCs/>
                <w:sz w:val="22"/>
                <w:szCs w:val="22"/>
                <w:lang w:val="en-US"/>
              </w:rPr>
              <w:t xml:space="preserve">Reference period: </w:t>
            </w:r>
            <w:r w:rsidRPr="00094F3A">
              <w:rPr>
                <w:rFonts w:asciiTheme="minorHAnsi" w:hAnsiTheme="minorHAnsi"/>
                <w:bCs/>
                <w:sz w:val="22"/>
                <w:szCs w:val="22"/>
                <w:lang w:val="en-US"/>
              </w:rPr>
              <w:t>Partners decide how long after completing the prior students will be assessed.</w:t>
            </w:r>
            <w:r>
              <w:rPr>
                <w:rFonts w:asciiTheme="minorHAnsi" w:hAnsiTheme="minorHAnsi"/>
                <w:b/>
                <w:bCs/>
                <w:sz w:val="22"/>
                <w:szCs w:val="22"/>
                <w:lang w:val="en-US"/>
              </w:rPr>
              <w:t xml:space="preserve"> </w:t>
            </w:r>
          </w:p>
          <w:p w14:paraId="4B193AE8" w14:textId="43C0BD6D" w:rsidR="00094F3A" w:rsidRDefault="00094F3A" w:rsidP="00866A3F">
            <w:pPr>
              <w:pStyle w:val="Default"/>
              <w:rPr>
                <w:rFonts w:asciiTheme="minorHAnsi" w:hAnsiTheme="minorHAnsi"/>
                <w:b/>
                <w:bCs/>
                <w:sz w:val="22"/>
                <w:szCs w:val="22"/>
                <w:lang w:val="en-US"/>
              </w:rPr>
            </w:pPr>
          </w:p>
          <w:p w14:paraId="542FDEE1" w14:textId="7D30CFC2" w:rsidR="00094F3A" w:rsidRDefault="00094F3A" w:rsidP="00866A3F">
            <w:pPr>
              <w:pStyle w:val="Default"/>
              <w:rPr>
                <w:rFonts w:asciiTheme="minorHAnsi" w:hAnsiTheme="minorHAnsi"/>
                <w:b/>
                <w:bCs/>
                <w:sz w:val="22"/>
                <w:szCs w:val="22"/>
                <w:lang w:val="en-US"/>
              </w:rPr>
            </w:pPr>
            <w:r>
              <w:rPr>
                <w:rFonts w:asciiTheme="minorHAnsi" w:hAnsiTheme="minorHAnsi"/>
                <w:b/>
                <w:bCs/>
                <w:sz w:val="22"/>
                <w:szCs w:val="22"/>
                <w:lang w:val="en-US"/>
              </w:rPr>
              <w:t xml:space="preserve">Nominator: </w:t>
            </w:r>
            <w:r w:rsidRPr="00AB34E6">
              <w:rPr>
                <w:rFonts w:asciiTheme="minorHAnsi" w:hAnsiTheme="minorHAnsi"/>
                <w:bCs/>
                <w:sz w:val="22"/>
                <w:szCs w:val="22"/>
                <w:lang w:val="en-US"/>
              </w:rPr>
              <w:t xml:space="preserve">Number of students </w:t>
            </w:r>
            <w:r w:rsidR="00AB34E6" w:rsidRPr="00AB34E6">
              <w:rPr>
                <w:rFonts w:asciiTheme="minorHAnsi" w:hAnsiTheme="minorHAnsi"/>
                <w:bCs/>
                <w:sz w:val="22"/>
                <w:szCs w:val="22"/>
                <w:lang w:val="en-US"/>
              </w:rPr>
              <w:t>who are in supported upper secondary schools or vocational training that are in tertiary institutions or generating their own income in the reporting year.</w:t>
            </w:r>
            <w:r w:rsidR="00AB34E6">
              <w:rPr>
                <w:rFonts w:asciiTheme="minorHAnsi" w:hAnsiTheme="minorHAnsi"/>
                <w:b/>
                <w:bCs/>
                <w:sz w:val="22"/>
                <w:szCs w:val="22"/>
                <w:lang w:val="en-US"/>
              </w:rPr>
              <w:t xml:space="preserve"> </w:t>
            </w:r>
          </w:p>
          <w:p w14:paraId="083E2B28" w14:textId="1188D7D1" w:rsidR="00866A3F" w:rsidRPr="00C44970" w:rsidRDefault="00866A3F" w:rsidP="00094F3A">
            <w:pPr>
              <w:pStyle w:val="Default"/>
              <w:rPr>
                <w:rFonts w:asciiTheme="minorHAnsi" w:hAnsiTheme="minorHAnsi"/>
                <w:b/>
                <w:bCs/>
                <w:sz w:val="22"/>
                <w:szCs w:val="22"/>
                <w:lang w:val="en-US"/>
              </w:rPr>
            </w:pPr>
            <w:r w:rsidRPr="00C44970">
              <w:rPr>
                <w:rFonts w:asciiTheme="minorHAnsi" w:hAnsiTheme="minorHAnsi"/>
                <w:b/>
                <w:bCs/>
                <w:sz w:val="22"/>
                <w:szCs w:val="22"/>
                <w:lang w:val="en-US"/>
              </w:rPr>
              <w:t xml:space="preserve">Denominator: </w:t>
            </w:r>
            <w:r w:rsidRPr="00C44970">
              <w:rPr>
                <w:rFonts w:asciiTheme="minorHAnsi" w:hAnsiTheme="minorHAnsi"/>
                <w:bCs/>
                <w:sz w:val="22"/>
                <w:szCs w:val="22"/>
                <w:lang w:val="en-US"/>
              </w:rPr>
              <w:t xml:space="preserve">Number of students </w:t>
            </w:r>
            <w:r w:rsidR="00094F3A">
              <w:rPr>
                <w:rFonts w:asciiTheme="minorHAnsi" w:hAnsiTheme="minorHAnsi"/>
                <w:bCs/>
                <w:sz w:val="22"/>
                <w:szCs w:val="22"/>
                <w:lang w:val="en-US"/>
              </w:rPr>
              <w:t xml:space="preserve">completing in supported </w:t>
            </w:r>
            <w:r w:rsidRPr="00C44970">
              <w:rPr>
                <w:rFonts w:asciiTheme="minorHAnsi" w:eastAsia="Times New Roman" w:hAnsiTheme="minorHAnsi" w:cs="Times New Roman"/>
                <w:sz w:val="22"/>
                <w:szCs w:val="22"/>
                <w:lang w:val="en-GB" w:eastAsia="en-GB" w:bidi="ar-SA"/>
              </w:rPr>
              <w:t>upper secondary education</w:t>
            </w:r>
            <w:r w:rsidR="00094F3A">
              <w:rPr>
                <w:rFonts w:asciiTheme="minorHAnsi" w:eastAsia="Times New Roman" w:hAnsiTheme="minorHAnsi" w:cs="Times New Roman"/>
                <w:sz w:val="22"/>
                <w:szCs w:val="22"/>
                <w:lang w:val="en-GB" w:eastAsia="en-GB" w:bidi="ar-SA"/>
              </w:rPr>
              <w:t xml:space="preserve"> schools</w:t>
            </w:r>
            <w:r w:rsidRPr="00C44970">
              <w:rPr>
                <w:rFonts w:asciiTheme="minorHAnsi" w:eastAsia="Times New Roman" w:hAnsiTheme="minorHAnsi" w:cs="Times New Roman"/>
                <w:sz w:val="22"/>
                <w:szCs w:val="22"/>
                <w:lang w:val="en-GB" w:eastAsia="en-GB" w:bidi="ar-SA"/>
              </w:rPr>
              <w:t xml:space="preserve"> or vocational training</w:t>
            </w:r>
            <w:r w:rsidR="00094F3A">
              <w:rPr>
                <w:rFonts w:asciiTheme="minorHAnsi" w:eastAsia="Times New Roman" w:hAnsiTheme="minorHAnsi" w:cs="Times New Roman"/>
                <w:sz w:val="22"/>
                <w:szCs w:val="22"/>
                <w:lang w:val="en-GB" w:eastAsia="en-GB" w:bidi="ar-SA"/>
              </w:rPr>
              <w:t xml:space="preserve"> </w:t>
            </w:r>
            <w:r w:rsidRPr="00C44970">
              <w:rPr>
                <w:rFonts w:asciiTheme="minorHAnsi" w:eastAsia="Times New Roman" w:hAnsiTheme="minorHAnsi" w:cs="Times New Roman"/>
                <w:sz w:val="22"/>
                <w:szCs w:val="22"/>
                <w:lang w:val="en-GB" w:eastAsia="en-GB" w:bidi="ar-SA"/>
              </w:rPr>
              <w:t>during year prior to the reporting year.</w:t>
            </w:r>
          </w:p>
        </w:tc>
      </w:tr>
      <w:tr w:rsidR="00AB34E6" w:rsidRPr="00FA56CA" w14:paraId="63BE37E0" w14:textId="77777777" w:rsidTr="00A53C7F">
        <w:trPr>
          <w:cantSplit/>
        </w:trPr>
        <w:tc>
          <w:tcPr>
            <w:tcW w:w="15304" w:type="dxa"/>
            <w:tcBorders>
              <w:top w:val="nil"/>
              <w:left w:val="single" w:sz="4" w:space="0" w:color="auto"/>
              <w:bottom w:val="nil"/>
              <w:right w:val="single" w:sz="4" w:space="0" w:color="auto"/>
            </w:tcBorders>
            <w:shd w:val="clear" w:color="auto" w:fill="FFFFFF" w:themeFill="background1"/>
          </w:tcPr>
          <w:p w14:paraId="66B5B3C3" w14:textId="5C12E49B" w:rsidR="00AB34E6" w:rsidRPr="00AB34E6" w:rsidRDefault="00AB34E6" w:rsidP="00AB34E6">
            <w:pPr>
              <w:pStyle w:val="Default"/>
              <w:rPr>
                <w:rFonts w:asciiTheme="minorHAnsi" w:hAnsiTheme="minorHAnsi"/>
                <w:bCs/>
                <w:sz w:val="22"/>
                <w:szCs w:val="22"/>
                <w:lang w:val="en-US"/>
              </w:rPr>
            </w:pPr>
            <w:r>
              <w:rPr>
                <w:rFonts w:asciiTheme="minorHAnsi" w:hAnsiTheme="minorHAnsi"/>
                <w:b/>
                <w:bCs/>
                <w:sz w:val="22"/>
                <w:szCs w:val="22"/>
                <w:lang w:val="en-US"/>
              </w:rPr>
              <w:t>Methodology:</w:t>
            </w:r>
            <w:r w:rsidRPr="00C44970">
              <w:rPr>
                <w:rFonts w:asciiTheme="minorHAnsi" w:hAnsiTheme="minorHAnsi"/>
                <w:b/>
                <w:bCs/>
                <w:sz w:val="22"/>
                <w:szCs w:val="22"/>
                <w:lang w:val="en-US"/>
              </w:rPr>
              <w:t xml:space="preserve"> </w:t>
            </w:r>
            <w:r w:rsidRPr="00AB34E6">
              <w:rPr>
                <w:rFonts w:asciiTheme="minorHAnsi" w:hAnsiTheme="minorHAnsi"/>
                <w:bCs/>
                <w:sz w:val="22"/>
                <w:szCs w:val="22"/>
                <w:lang w:val="en-US"/>
              </w:rPr>
              <w:t>D</w:t>
            </w:r>
            <w:r w:rsidRPr="00C44970">
              <w:rPr>
                <w:rFonts w:asciiTheme="minorHAnsi" w:hAnsiTheme="minorHAnsi"/>
                <w:bCs/>
                <w:sz w:val="22"/>
                <w:szCs w:val="22"/>
                <w:lang w:val="en-US"/>
              </w:rPr>
              <w:t xml:space="preserve">ata collection systems </w:t>
            </w:r>
            <w:r>
              <w:rPr>
                <w:rFonts w:asciiTheme="minorHAnsi" w:hAnsiTheme="minorHAnsi"/>
                <w:bCs/>
                <w:sz w:val="22"/>
                <w:szCs w:val="22"/>
                <w:lang w:val="en-US"/>
              </w:rPr>
              <w:t xml:space="preserve">should be </w:t>
            </w:r>
            <w:r w:rsidRPr="00C44970">
              <w:rPr>
                <w:rFonts w:asciiTheme="minorHAnsi" w:hAnsiTheme="minorHAnsi"/>
                <w:bCs/>
                <w:sz w:val="22"/>
                <w:szCs w:val="22"/>
                <w:lang w:val="en-US"/>
              </w:rPr>
              <w:t>established in advance of students graduating</w:t>
            </w:r>
            <w:r>
              <w:rPr>
                <w:rFonts w:asciiTheme="minorHAnsi" w:hAnsiTheme="minorHAnsi"/>
                <w:bCs/>
                <w:sz w:val="22"/>
                <w:szCs w:val="22"/>
                <w:lang w:val="en-US"/>
              </w:rPr>
              <w:t xml:space="preserve"> so they can be tracked</w:t>
            </w:r>
            <w:r w:rsidRPr="00C44970">
              <w:rPr>
                <w:rFonts w:asciiTheme="minorHAnsi" w:hAnsiTheme="minorHAnsi"/>
                <w:bCs/>
                <w:sz w:val="22"/>
                <w:szCs w:val="22"/>
                <w:lang w:val="en-US"/>
              </w:rPr>
              <w:t xml:space="preserve">. </w:t>
            </w:r>
            <w:r>
              <w:rPr>
                <w:rFonts w:asciiTheme="minorHAnsi" w:hAnsiTheme="minorHAnsi"/>
                <w:bCs/>
                <w:sz w:val="22"/>
                <w:szCs w:val="22"/>
                <w:lang w:val="en-US"/>
              </w:rPr>
              <w:t xml:space="preserve">The number of students generating their own income can be estimated from a random sample in a tracer study if it is too costly and time consuming to trace all students completing within target educational institutions. </w:t>
            </w:r>
          </w:p>
        </w:tc>
      </w:tr>
      <w:tr w:rsidR="00866A3F" w:rsidRPr="00FA56CA" w14:paraId="67D748F3" w14:textId="77777777" w:rsidTr="00A53C7F">
        <w:trPr>
          <w:cantSplit/>
        </w:trPr>
        <w:tc>
          <w:tcPr>
            <w:tcW w:w="15304" w:type="dxa"/>
            <w:tcBorders>
              <w:top w:val="nil"/>
              <w:left w:val="single" w:sz="4" w:space="0" w:color="auto"/>
              <w:bottom w:val="single" w:sz="4" w:space="0" w:color="auto"/>
              <w:right w:val="single" w:sz="4" w:space="0" w:color="auto"/>
            </w:tcBorders>
            <w:shd w:val="clear" w:color="auto" w:fill="FFFFFF" w:themeFill="background1"/>
          </w:tcPr>
          <w:p w14:paraId="3748A322" w14:textId="77777777" w:rsidR="00A53C7F" w:rsidRDefault="00A53C7F" w:rsidP="00A53C7F">
            <w:pPr>
              <w:spacing w:after="0" w:line="240" w:lineRule="auto"/>
              <w:rPr>
                <w:bCs/>
                <w:lang w:val="en-US"/>
              </w:rPr>
            </w:pPr>
            <w:r>
              <w:rPr>
                <w:b/>
                <w:bCs/>
                <w:lang w:val="en-US"/>
              </w:rPr>
              <w:t xml:space="preserve">Type of indicator: </w:t>
            </w:r>
            <w:r>
              <w:rPr>
                <w:bCs/>
                <w:lang w:val="en-US"/>
              </w:rPr>
              <w:t xml:space="preserve">Output, not </w:t>
            </w:r>
            <w:r w:rsidRPr="00752B57">
              <w:rPr>
                <w:bCs/>
                <w:lang w:val="en-US"/>
              </w:rPr>
              <w:t>cumulative</w:t>
            </w:r>
          </w:p>
          <w:p w14:paraId="2D566E6E" w14:textId="51529AC5" w:rsidR="00576D29" w:rsidRPr="00C44970" w:rsidRDefault="00576D29" w:rsidP="00AB34E6">
            <w:pPr>
              <w:pStyle w:val="Default"/>
              <w:rPr>
                <w:rFonts w:asciiTheme="minorHAnsi" w:hAnsiTheme="minorHAnsi"/>
                <w:b/>
                <w:bCs/>
                <w:sz w:val="22"/>
                <w:szCs w:val="22"/>
                <w:lang w:val="en-US"/>
              </w:rPr>
            </w:pPr>
          </w:p>
        </w:tc>
      </w:tr>
      <w:tr w:rsidR="00866A3F" w:rsidRPr="00FA56CA" w14:paraId="0154B1FD" w14:textId="77777777" w:rsidTr="00A53C7F">
        <w:tblPrEx>
          <w:shd w:val="clear" w:color="auto" w:fill="F4B083" w:themeFill="accent2" w:themeFillTint="99"/>
        </w:tblPrEx>
        <w:trPr>
          <w:cantSplit/>
          <w:trHeight w:val="397"/>
        </w:trPr>
        <w:tc>
          <w:tcPr>
            <w:tcW w:w="15304"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14:paraId="49168E0F" w14:textId="038EDB66" w:rsidR="00866A3F" w:rsidRPr="00C44970" w:rsidRDefault="00AB34E6" w:rsidP="00A53C7F">
            <w:pPr>
              <w:spacing w:after="0" w:line="240" w:lineRule="auto"/>
              <w:rPr>
                <w:rFonts w:eastAsia="Times New Roman" w:cs="Times New Roman"/>
                <w:color w:val="000000"/>
                <w:lang w:val="en-GB" w:eastAsia="en-GB" w:bidi="ar-SA"/>
              </w:rPr>
            </w:pPr>
            <w:r>
              <w:rPr>
                <w:rFonts w:eastAsia="Times New Roman" w:cs="Times New Roman"/>
                <w:color w:val="000000"/>
                <w:lang w:val="en-GB" w:eastAsia="en-GB" w:bidi="ar-SA"/>
              </w:rPr>
              <w:t xml:space="preserve">Indicator </w:t>
            </w:r>
            <w:r w:rsidR="00A53C7F">
              <w:rPr>
                <w:rFonts w:eastAsia="Times New Roman" w:cs="Times New Roman"/>
                <w:color w:val="000000"/>
                <w:lang w:val="en-GB" w:eastAsia="en-GB" w:bidi="ar-SA"/>
              </w:rPr>
              <w:t xml:space="preserve">3.2: </w:t>
            </w:r>
            <w:r w:rsidR="00A53C7F" w:rsidRPr="00A53C7F">
              <w:rPr>
                <w:rFonts w:eastAsia="Times New Roman" w:cs="Times New Roman"/>
                <w:color w:val="000000"/>
                <w:lang w:val="en-GB" w:eastAsia="en-GB" w:bidi="ar-SA"/>
              </w:rPr>
              <w:t xml:space="preserve">% and # of students in </w:t>
            </w:r>
            <w:r w:rsidR="00A53C7F">
              <w:rPr>
                <w:rFonts w:eastAsia="Times New Roman" w:cs="Times New Roman"/>
                <w:color w:val="000000"/>
                <w:lang w:val="en-GB" w:eastAsia="en-GB" w:bidi="ar-SA"/>
              </w:rPr>
              <w:t>target</w:t>
            </w:r>
            <w:r w:rsidR="00A53C7F" w:rsidRPr="00A53C7F">
              <w:rPr>
                <w:rFonts w:eastAsia="Times New Roman" w:cs="Times New Roman"/>
                <w:color w:val="000000"/>
                <w:lang w:val="en-GB" w:eastAsia="en-GB" w:bidi="ar-SA"/>
              </w:rPr>
              <w:t xml:space="preserve"> educational institutions who completed/passed vocational training programme</w:t>
            </w:r>
            <w:r w:rsidR="00A53C7F">
              <w:rPr>
                <w:rFonts w:eastAsia="Times New Roman" w:cs="Times New Roman"/>
                <w:color w:val="000000"/>
                <w:lang w:val="en-GB" w:eastAsia="en-GB" w:bidi="ar-SA"/>
              </w:rPr>
              <w:t xml:space="preserve"> (sex)</w:t>
            </w:r>
            <w:r w:rsidR="00A53C7F" w:rsidRPr="00A53C7F">
              <w:rPr>
                <w:rFonts w:eastAsia="Times New Roman" w:cs="Times New Roman"/>
                <w:color w:val="000000"/>
                <w:lang w:val="en-GB" w:eastAsia="en-GB" w:bidi="ar-SA"/>
              </w:rPr>
              <w:t>.</w:t>
            </w:r>
          </w:p>
        </w:tc>
      </w:tr>
      <w:tr w:rsidR="00866A3F" w:rsidRPr="00FA56CA" w14:paraId="3795B58C" w14:textId="77777777" w:rsidTr="00AB34E6">
        <w:tblPrEx>
          <w:shd w:val="clear" w:color="auto" w:fill="F4B083" w:themeFill="accent2" w:themeFillTint="99"/>
        </w:tblPrEx>
        <w:trPr>
          <w:cantSplit/>
        </w:trPr>
        <w:tc>
          <w:tcPr>
            <w:tcW w:w="15304" w:type="dxa"/>
            <w:tcBorders>
              <w:top w:val="single" w:sz="4" w:space="0" w:color="auto"/>
            </w:tcBorders>
            <w:shd w:val="clear" w:color="auto" w:fill="FFFFFF" w:themeFill="background1"/>
          </w:tcPr>
          <w:p w14:paraId="0F49792D" w14:textId="77777777" w:rsidR="00A53C7F" w:rsidRDefault="00A53C7F" w:rsidP="00866A3F">
            <w:pPr>
              <w:autoSpaceDE w:val="0"/>
              <w:autoSpaceDN w:val="0"/>
              <w:adjustRightInd w:val="0"/>
              <w:spacing w:after="0" w:line="240" w:lineRule="auto"/>
              <w:rPr>
                <w:b/>
                <w:bCs/>
                <w:lang w:val="en-US"/>
              </w:rPr>
            </w:pPr>
            <w:r>
              <w:rPr>
                <w:b/>
                <w:bCs/>
                <w:lang w:val="en-US"/>
              </w:rPr>
              <w:t xml:space="preserve">Proportion and number of students in supported educational institutions who completed (passed exam, received certificate of completion or attended sufficient number of days to complete) vocational training programme. </w:t>
            </w:r>
          </w:p>
          <w:p w14:paraId="53EB93D7" w14:textId="28EBC83F" w:rsidR="00A53C7F" w:rsidRDefault="00A53C7F" w:rsidP="00866A3F">
            <w:pPr>
              <w:autoSpaceDE w:val="0"/>
              <w:autoSpaceDN w:val="0"/>
              <w:adjustRightInd w:val="0"/>
              <w:spacing w:after="0" w:line="240" w:lineRule="auto"/>
              <w:rPr>
                <w:b/>
                <w:bCs/>
                <w:lang w:val="en-US"/>
              </w:rPr>
            </w:pPr>
          </w:p>
          <w:p w14:paraId="58CDCBA7" w14:textId="02D1C987" w:rsidR="00A53C7F" w:rsidRDefault="00A53C7F" w:rsidP="00866A3F">
            <w:pPr>
              <w:autoSpaceDE w:val="0"/>
              <w:autoSpaceDN w:val="0"/>
              <w:adjustRightInd w:val="0"/>
              <w:spacing w:after="0" w:line="240" w:lineRule="auto"/>
              <w:rPr>
                <w:b/>
                <w:bCs/>
                <w:lang w:val="en-US"/>
              </w:rPr>
            </w:pPr>
            <w:r>
              <w:rPr>
                <w:b/>
                <w:bCs/>
                <w:lang w:val="en-US"/>
              </w:rPr>
              <w:t xml:space="preserve">Nominator: </w:t>
            </w:r>
            <w:r w:rsidRPr="00BF0D80">
              <w:rPr>
                <w:bCs/>
                <w:lang w:val="en-US"/>
              </w:rPr>
              <w:t>Number of students who completed vocational training programme (sex</w:t>
            </w:r>
            <w:r>
              <w:rPr>
                <w:b/>
                <w:bCs/>
                <w:lang w:val="en-US"/>
              </w:rPr>
              <w:t>)</w:t>
            </w:r>
          </w:p>
          <w:p w14:paraId="6E7FCAD8" w14:textId="1A8A7CFB" w:rsidR="00866A3F" w:rsidRPr="00C44970" w:rsidRDefault="00866A3F" w:rsidP="00BF0D80">
            <w:pPr>
              <w:spacing w:after="0" w:line="240" w:lineRule="auto"/>
              <w:rPr>
                <w:rFonts w:eastAsia="Times New Roman" w:cs="Times New Roman"/>
                <w:color w:val="000000"/>
                <w:lang w:val="en-GB" w:eastAsia="en-GB" w:bidi="ar-SA"/>
              </w:rPr>
            </w:pPr>
            <w:r w:rsidRPr="00C44970">
              <w:rPr>
                <w:b/>
                <w:bCs/>
                <w:lang w:val="en-US"/>
              </w:rPr>
              <w:t xml:space="preserve">Denominator: </w:t>
            </w:r>
            <w:r w:rsidR="00A53C7F" w:rsidRPr="00BF0D80">
              <w:rPr>
                <w:bCs/>
                <w:lang w:val="en-US"/>
              </w:rPr>
              <w:t>Total number of students that enrolled in vocational training programme (sex)</w:t>
            </w:r>
          </w:p>
        </w:tc>
      </w:tr>
      <w:tr w:rsidR="00866A3F" w:rsidRPr="00FA56CA" w14:paraId="2E27B2F7" w14:textId="77777777" w:rsidTr="00576D29">
        <w:tblPrEx>
          <w:shd w:val="clear" w:color="auto" w:fill="F4B083" w:themeFill="accent2" w:themeFillTint="99"/>
        </w:tblPrEx>
        <w:trPr>
          <w:cantSplit/>
        </w:trPr>
        <w:tc>
          <w:tcPr>
            <w:tcW w:w="15304" w:type="dxa"/>
            <w:shd w:val="clear" w:color="auto" w:fill="FFFFFF" w:themeFill="background1"/>
          </w:tcPr>
          <w:p w14:paraId="05627B7A" w14:textId="37A0119B" w:rsidR="00866A3F" w:rsidRPr="00C44970" w:rsidRDefault="00866A3F" w:rsidP="00BF0D80">
            <w:pPr>
              <w:spacing w:after="0" w:line="240" w:lineRule="auto"/>
              <w:rPr>
                <w:rFonts w:eastAsia="Times New Roman" w:cs="Times New Roman"/>
                <w:color w:val="000000"/>
                <w:lang w:val="en-GB" w:eastAsia="en-GB" w:bidi="ar-SA"/>
              </w:rPr>
            </w:pPr>
            <w:r w:rsidRPr="00C44970">
              <w:rPr>
                <w:b/>
                <w:bCs/>
                <w:lang w:val="en-US"/>
              </w:rPr>
              <w:t xml:space="preserve">Methodology: </w:t>
            </w:r>
            <w:r w:rsidR="00BF0D80" w:rsidRPr="00BF0D80">
              <w:rPr>
                <w:bCs/>
                <w:lang w:val="en-US"/>
              </w:rPr>
              <w:t>Usually to be reported upon for baseline year and endline year using administrative records from the supported vocational traning institutions/courses.</w:t>
            </w:r>
            <w:r w:rsidR="00BF0D80">
              <w:rPr>
                <w:b/>
                <w:bCs/>
                <w:lang w:val="en-US"/>
              </w:rPr>
              <w:t xml:space="preserve">  </w:t>
            </w:r>
          </w:p>
        </w:tc>
      </w:tr>
      <w:tr w:rsidR="00BF0D80" w:rsidRPr="00FA56CA" w14:paraId="6D1E0809" w14:textId="77777777" w:rsidTr="00BF0D80">
        <w:tblPrEx>
          <w:shd w:val="clear" w:color="auto" w:fill="F4B083" w:themeFill="accent2" w:themeFillTint="99"/>
        </w:tblPrEx>
        <w:trPr>
          <w:cantSplit/>
        </w:trPr>
        <w:tc>
          <w:tcPr>
            <w:tcW w:w="15304" w:type="dxa"/>
            <w:tcBorders>
              <w:bottom w:val="single" w:sz="4" w:space="0" w:color="auto"/>
            </w:tcBorders>
            <w:shd w:val="clear" w:color="auto" w:fill="FFFFFF" w:themeFill="background1"/>
          </w:tcPr>
          <w:p w14:paraId="6962423C" w14:textId="77777777" w:rsidR="00BF0D80" w:rsidRDefault="00BF0D80" w:rsidP="00BF0D80">
            <w:pPr>
              <w:spacing w:after="0" w:line="240" w:lineRule="auto"/>
              <w:rPr>
                <w:bCs/>
                <w:lang w:val="en-US"/>
              </w:rPr>
            </w:pPr>
            <w:r>
              <w:rPr>
                <w:b/>
                <w:bCs/>
                <w:lang w:val="en-US"/>
              </w:rPr>
              <w:t xml:space="preserve">Type of indicator: </w:t>
            </w:r>
            <w:r>
              <w:rPr>
                <w:bCs/>
                <w:lang w:val="en-US"/>
              </w:rPr>
              <w:t xml:space="preserve">Output, not </w:t>
            </w:r>
            <w:r w:rsidRPr="00752B57">
              <w:rPr>
                <w:bCs/>
                <w:lang w:val="en-US"/>
              </w:rPr>
              <w:t>cumulative</w:t>
            </w:r>
          </w:p>
          <w:p w14:paraId="59CB7395" w14:textId="77777777" w:rsidR="00BF0D80" w:rsidRPr="00C44970" w:rsidRDefault="00BF0D80" w:rsidP="00BF0D80">
            <w:pPr>
              <w:spacing w:after="0" w:line="240" w:lineRule="auto"/>
              <w:rPr>
                <w:b/>
                <w:bCs/>
                <w:lang w:val="en-US"/>
              </w:rPr>
            </w:pPr>
          </w:p>
        </w:tc>
      </w:tr>
      <w:tr w:rsidR="00866A3F" w:rsidRPr="00FA56CA" w14:paraId="3A415921" w14:textId="77777777" w:rsidTr="00BF0D80">
        <w:trPr>
          <w:cantSplit/>
        </w:trPr>
        <w:tc>
          <w:tcPr>
            <w:tcW w:w="15304"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14:paraId="440977AF" w14:textId="76EC7BD4" w:rsidR="00866A3F" w:rsidRPr="00C44970" w:rsidRDefault="00BF0D80" w:rsidP="00866A3F">
            <w:pPr>
              <w:spacing w:after="0" w:line="240" w:lineRule="auto"/>
              <w:rPr>
                <w:rFonts w:eastAsia="Times New Roman" w:cs="Times New Roman"/>
                <w:color w:val="000000"/>
                <w:lang w:val="en-GB" w:eastAsia="en-GB" w:bidi="ar-SA"/>
              </w:rPr>
            </w:pPr>
            <w:r w:rsidRPr="00BF0D80">
              <w:rPr>
                <w:rFonts w:eastAsia="Times New Roman" w:cs="Times New Roman"/>
                <w:color w:val="000000"/>
                <w:lang w:val="en-GB" w:eastAsia="en-GB" w:bidi="ar-SA"/>
              </w:rPr>
              <w:t>Improved capacity and relevance of TVET-provision and upper secondary education</w:t>
            </w:r>
          </w:p>
        </w:tc>
      </w:tr>
      <w:tr w:rsidR="00BF0D80" w:rsidRPr="00FA56CA" w14:paraId="58C4F617" w14:textId="77777777" w:rsidTr="00BF0D80">
        <w:trPr>
          <w:cantSplit/>
        </w:trPr>
        <w:tc>
          <w:tcPr>
            <w:tcW w:w="15304"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237BA065" w14:textId="468BFC68" w:rsidR="00BF0D80" w:rsidRPr="00C44970" w:rsidRDefault="00BF0D80" w:rsidP="00BF0D80">
            <w:pPr>
              <w:spacing w:after="0" w:line="240" w:lineRule="auto"/>
              <w:rPr>
                <w:rFonts w:eastAsia="Times New Roman" w:cs="Times New Roman"/>
                <w:color w:val="000000"/>
                <w:lang w:val="en-GB" w:eastAsia="en-GB" w:bidi="ar-SA"/>
              </w:rPr>
            </w:pPr>
            <w:r>
              <w:rPr>
                <w:rFonts w:eastAsia="Times New Roman" w:cs="Times New Roman"/>
                <w:color w:val="000000"/>
                <w:lang w:val="en-GB" w:eastAsia="en-GB" w:bidi="ar-SA"/>
              </w:rPr>
              <w:t>Indicator 3.1.1: # of</w:t>
            </w:r>
            <w:r w:rsidR="00EA0B41">
              <w:rPr>
                <w:rFonts w:eastAsia="Times New Roman" w:cs="Times New Roman"/>
                <w:color w:val="000000"/>
                <w:lang w:val="en-GB" w:eastAsia="en-GB" w:bidi="ar-SA"/>
              </w:rPr>
              <w:t xml:space="preserve"> TVET trainers</w:t>
            </w:r>
            <w:r>
              <w:rPr>
                <w:rFonts w:eastAsia="Times New Roman" w:cs="Times New Roman"/>
                <w:color w:val="000000"/>
                <w:lang w:val="en-GB" w:eastAsia="en-GB" w:bidi="ar-SA"/>
              </w:rPr>
              <w:t xml:space="preserve"> supported to obtain qualifications as per government set standards</w:t>
            </w:r>
            <w:r w:rsidR="00B04F80">
              <w:rPr>
                <w:rFonts w:eastAsia="Times New Roman" w:cs="Times New Roman"/>
                <w:color w:val="000000"/>
                <w:lang w:val="en-GB" w:eastAsia="en-GB" w:bidi="ar-SA"/>
              </w:rPr>
              <w:t xml:space="preserve"> (sex)</w:t>
            </w:r>
          </w:p>
        </w:tc>
      </w:tr>
      <w:tr w:rsidR="00866A3F" w:rsidRPr="00FA56CA" w14:paraId="6FB560AA" w14:textId="77777777" w:rsidTr="00BF0D80">
        <w:trPr>
          <w:cantSplit/>
        </w:trPr>
        <w:tc>
          <w:tcPr>
            <w:tcW w:w="15304" w:type="dxa"/>
            <w:tcBorders>
              <w:top w:val="single" w:sz="4" w:space="0" w:color="auto"/>
            </w:tcBorders>
            <w:shd w:val="clear" w:color="auto" w:fill="FFFFFF" w:themeFill="background1"/>
          </w:tcPr>
          <w:p w14:paraId="780517AF" w14:textId="3840C673" w:rsidR="00866A3F" w:rsidRPr="00C44970" w:rsidRDefault="00BF0D80" w:rsidP="00866A3F">
            <w:pPr>
              <w:pStyle w:val="Default"/>
              <w:rPr>
                <w:rFonts w:asciiTheme="minorHAnsi" w:hAnsiTheme="minorHAnsi"/>
                <w:b/>
                <w:bCs/>
                <w:sz w:val="22"/>
                <w:szCs w:val="22"/>
                <w:lang w:val="en-US"/>
              </w:rPr>
            </w:pPr>
            <w:r w:rsidRPr="00BF0D80">
              <w:rPr>
                <w:rFonts w:asciiTheme="minorHAnsi" w:hAnsiTheme="minorHAnsi"/>
                <w:b/>
                <w:bCs/>
                <w:sz w:val="22"/>
                <w:szCs w:val="22"/>
                <w:lang w:val="en-US"/>
              </w:rPr>
              <w:t xml:space="preserve">Number of </w:t>
            </w:r>
            <w:r>
              <w:rPr>
                <w:rFonts w:asciiTheme="minorHAnsi" w:hAnsiTheme="minorHAnsi"/>
                <w:b/>
                <w:bCs/>
                <w:sz w:val="22"/>
                <w:szCs w:val="22"/>
                <w:lang w:val="en-US"/>
              </w:rPr>
              <w:t xml:space="preserve">TVET </w:t>
            </w:r>
            <w:r w:rsidRPr="00BF0D80">
              <w:rPr>
                <w:rFonts w:asciiTheme="minorHAnsi" w:hAnsiTheme="minorHAnsi"/>
                <w:b/>
                <w:bCs/>
                <w:sz w:val="22"/>
                <w:szCs w:val="22"/>
                <w:lang w:val="en-US"/>
              </w:rPr>
              <w:t xml:space="preserve">teachers graduating </w:t>
            </w:r>
            <w:r w:rsidR="00EA0B41">
              <w:rPr>
                <w:rFonts w:asciiTheme="minorHAnsi" w:hAnsiTheme="minorHAnsi"/>
                <w:b/>
                <w:bCs/>
                <w:sz w:val="22"/>
                <w:szCs w:val="22"/>
                <w:lang w:val="en-US"/>
              </w:rPr>
              <w:t>from training programme supported by project/programme with qua</w:t>
            </w:r>
            <w:r w:rsidRPr="00BF0D80">
              <w:rPr>
                <w:rFonts w:asciiTheme="minorHAnsi" w:hAnsiTheme="minorHAnsi"/>
                <w:b/>
                <w:bCs/>
                <w:sz w:val="22"/>
                <w:szCs w:val="22"/>
                <w:lang w:val="en-US"/>
              </w:rPr>
              <w:t xml:space="preserve">lification levels </w:t>
            </w:r>
            <w:r w:rsidR="00EA0B41">
              <w:rPr>
                <w:rFonts w:asciiTheme="minorHAnsi" w:hAnsiTheme="minorHAnsi"/>
                <w:b/>
                <w:bCs/>
                <w:sz w:val="22"/>
                <w:szCs w:val="22"/>
                <w:lang w:val="en-US"/>
              </w:rPr>
              <w:t>as per government set standards</w:t>
            </w:r>
          </w:p>
          <w:p w14:paraId="7D07CBCE" w14:textId="77777777" w:rsidR="00EA0B41" w:rsidRDefault="00EA0B41" w:rsidP="00EA0B41">
            <w:pPr>
              <w:pStyle w:val="Default"/>
              <w:rPr>
                <w:rFonts w:asciiTheme="minorHAnsi" w:hAnsiTheme="minorHAnsi"/>
                <w:b/>
                <w:bCs/>
                <w:sz w:val="22"/>
                <w:szCs w:val="22"/>
                <w:lang w:val="en-US"/>
              </w:rPr>
            </w:pPr>
          </w:p>
          <w:p w14:paraId="59B640E6" w14:textId="65F4D7CD" w:rsidR="00EA0B41" w:rsidRPr="00BA3CA0" w:rsidRDefault="00EA0B41" w:rsidP="00EA0B41">
            <w:pPr>
              <w:pStyle w:val="Default"/>
              <w:rPr>
                <w:rFonts w:asciiTheme="minorHAnsi" w:hAnsiTheme="minorHAnsi"/>
                <w:b/>
                <w:bCs/>
                <w:sz w:val="22"/>
                <w:szCs w:val="22"/>
                <w:lang w:val="en-US"/>
              </w:rPr>
            </w:pPr>
            <w:r w:rsidRPr="00BA3CA0">
              <w:rPr>
                <w:rFonts w:asciiTheme="minorHAnsi" w:hAnsiTheme="minorHAnsi"/>
                <w:b/>
                <w:bCs/>
                <w:sz w:val="22"/>
                <w:szCs w:val="22"/>
                <w:lang w:val="en-US"/>
              </w:rPr>
              <w:t xml:space="preserve">Definition: </w:t>
            </w:r>
          </w:p>
          <w:p w14:paraId="766A8676" w14:textId="3FE4A267" w:rsidR="00866A3F" w:rsidRPr="00C44970" w:rsidRDefault="00EA0B41" w:rsidP="00EA0B41">
            <w:pPr>
              <w:spacing w:after="0" w:line="240" w:lineRule="auto"/>
              <w:rPr>
                <w:rFonts w:eastAsia="Times New Roman" w:cs="Times New Roman"/>
                <w:color w:val="000000"/>
                <w:lang w:val="en-GB" w:eastAsia="en-GB" w:bidi="ar-SA"/>
              </w:rPr>
            </w:pPr>
            <w:r w:rsidRPr="00C44970">
              <w:rPr>
                <w:bCs/>
                <w:lang w:val="en-US"/>
              </w:rPr>
              <w:t xml:space="preserve">This can include </w:t>
            </w:r>
            <w:r>
              <w:rPr>
                <w:bCs/>
                <w:lang w:val="en-US"/>
              </w:rPr>
              <w:t xml:space="preserve">support to pre-service training through </w:t>
            </w:r>
            <w:r w:rsidRPr="00C44970">
              <w:rPr>
                <w:bCs/>
                <w:lang w:val="en-US"/>
              </w:rPr>
              <w:t>teacher training colleges, scholarship programmes for people to train and qualify as teachers</w:t>
            </w:r>
            <w:r>
              <w:rPr>
                <w:bCs/>
                <w:lang w:val="en-US"/>
              </w:rPr>
              <w:t xml:space="preserve"> and</w:t>
            </w:r>
            <w:r w:rsidRPr="00C44970">
              <w:rPr>
                <w:bCs/>
                <w:lang w:val="en-US"/>
              </w:rPr>
              <w:t xml:space="preserve"> </w:t>
            </w:r>
            <w:r>
              <w:rPr>
                <w:bCs/>
                <w:lang w:val="en-US"/>
              </w:rPr>
              <w:t xml:space="preserve">in-service programmes for </w:t>
            </w:r>
            <w:r w:rsidRPr="00C44970">
              <w:rPr>
                <w:bCs/>
                <w:lang w:val="en-US"/>
              </w:rPr>
              <w:t>upgrading practicing teachers to become qualified (includin</w:t>
            </w:r>
            <w:bookmarkStart w:id="0" w:name="_GoBack"/>
            <w:bookmarkEnd w:id="0"/>
            <w:r w:rsidRPr="00C44970">
              <w:rPr>
                <w:bCs/>
                <w:lang w:val="en-US"/>
              </w:rPr>
              <w:t>g d</w:t>
            </w:r>
            <w:r>
              <w:rPr>
                <w:bCs/>
                <w:lang w:val="en-US"/>
              </w:rPr>
              <w:t>istance learning programmes</w:t>
            </w:r>
          </w:p>
        </w:tc>
      </w:tr>
      <w:tr w:rsidR="00EA0B41" w:rsidRPr="00EA0B41" w14:paraId="4FDC7072" w14:textId="77777777" w:rsidTr="00576D29">
        <w:trPr>
          <w:cantSplit/>
        </w:trPr>
        <w:tc>
          <w:tcPr>
            <w:tcW w:w="15304" w:type="dxa"/>
            <w:shd w:val="clear" w:color="auto" w:fill="FFFFFF" w:themeFill="background1"/>
          </w:tcPr>
          <w:p w14:paraId="6895A4B4" w14:textId="3B1410B8" w:rsidR="00EA0B41" w:rsidRPr="00C44970" w:rsidRDefault="00EA0B41" w:rsidP="00EA0B41">
            <w:pPr>
              <w:spacing w:after="0" w:line="240" w:lineRule="auto"/>
              <w:rPr>
                <w:rFonts w:eastAsia="Times New Roman" w:cs="Times New Roman"/>
                <w:color w:val="000000"/>
                <w:lang w:val="en-GB" w:eastAsia="en-GB" w:bidi="ar-SA"/>
              </w:rPr>
            </w:pPr>
            <w:r w:rsidRPr="00C44970">
              <w:rPr>
                <w:b/>
                <w:bCs/>
                <w:lang w:val="en-US"/>
              </w:rPr>
              <w:t xml:space="preserve">Methodology: </w:t>
            </w:r>
            <w:r w:rsidRPr="00C44970">
              <w:rPr>
                <w:bCs/>
                <w:lang w:val="en-US"/>
              </w:rPr>
              <w:t>from project records. Report the number of</w:t>
            </w:r>
            <w:r w:rsidRPr="00C44970">
              <w:rPr>
                <w:b/>
                <w:bCs/>
                <w:lang w:val="en-US"/>
              </w:rPr>
              <w:t xml:space="preserve"> </w:t>
            </w:r>
            <w:r w:rsidRPr="00C44970">
              <w:rPr>
                <w:bCs/>
                <w:lang w:val="en-US"/>
              </w:rPr>
              <w:t>teachers against the year in which they graduate/ obtain their qualification</w:t>
            </w:r>
            <w:r>
              <w:rPr>
                <w:b/>
                <w:bCs/>
                <w:lang w:val="en-US"/>
              </w:rPr>
              <w:t>.</w:t>
            </w:r>
          </w:p>
        </w:tc>
      </w:tr>
      <w:tr w:rsidR="00EA0B41" w:rsidRPr="00EA0B41" w14:paraId="4EEF1DE1" w14:textId="77777777" w:rsidTr="00EA0B41">
        <w:trPr>
          <w:cantSplit/>
        </w:trPr>
        <w:tc>
          <w:tcPr>
            <w:tcW w:w="15304" w:type="dxa"/>
            <w:tcBorders>
              <w:bottom w:val="single" w:sz="4" w:space="0" w:color="auto"/>
            </w:tcBorders>
            <w:shd w:val="clear" w:color="auto" w:fill="FFFFFF" w:themeFill="background1"/>
          </w:tcPr>
          <w:p w14:paraId="712273A1" w14:textId="77777777" w:rsidR="00EA0B41" w:rsidRDefault="00EA0B41" w:rsidP="00EA0B41">
            <w:pPr>
              <w:pStyle w:val="Default"/>
              <w:rPr>
                <w:rFonts w:asciiTheme="minorHAnsi" w:hAnsiTheme="minorHAnsi"/>
                <w:bCs/>
                <w:sz w:val="22"/>
                <w:szCs w:val="22"/>
                <w:lang w:val="en-US"/>
              </w:rPr>
            </w:pPr>
            <w:r>
              <w:rPr>
                <w:rFonts w:asciiTheme="minorHAnsi" w:hAnsiTheme="minorHAnsi"/>
                <w:b/>
                <w:bCs/>
                <w:sz w:val="22"/>
                <w:szCs w:val="22"/>
                <w:lang w:val="en-US"/>
              </w:rPr>
              <w:t xml:space="preserve">Type of indicator: </w:t>
            </w:r>
            <w:r>
              <w:rPr>
                <w:rFonts w:asciiTheme="minorHAnsi" w:hAnsiTheme="minorHAnsi"/>
                <w:bCs/>
                <w:sz w:val="22"/>
                <w:szCs w:val="22"/>
                <w:lang w:val="en-US"/>
              </w:rPr>
              <w:t xml:space="preserve">Output, </w:t>
            </w:r>
            <w:r w:rsidRPr="00752B57">
              <w:rPr>
                <w:rFonts w:asciiTheme="minorHAnsi" w:hAnsiTheme="minorHAnsi"/>
                <w:bCs/>
                <w:sz w:val="22"/>
                <w:szCs w:val="22"/>
                <w:lang w:val="en-US"/>
              </w:rPr>
              <w:t>cumulative</w:t>
            </w:r>
          </w:p>
          <w:p w14:paraId="1640CC6D" w14:textId="12DE31A0" w:rsidR="00EA0B41" w:rsidRDefault="00EA0B41" w:rsidP="00EA0B41">
            <w:pPr>
              <w:pStyle w:val="Default"/>
              <w:rPr>
                <w:rFonts w:asciiTheme="minorHAnsi" w:hAnsiTheme="minorHAnsi"/>
                <w:b/>
                <w:bCs/>
                <w:sz w:val="22"/>
                <w:szCs w:val="22"/>
                <w:lang w:val="en-US"/>
              </w:rPr>
            </w:pPr>
          </w:p>
        </w:tc>
      </w:tr>
      <w:tr w:rsidR="00EA0B41" w:rsidRPr="00C44970" w14:paraId="69F209BF" w14:textId="77777777" w:rsidTr="00EA0B41">
        <w:tblPrEx>
          <w:shd w:val="clear" w:color="auto" w:fill="FBE4D5" w:themeFill="accent2" w:themeFillTint="33"/>
        </w:tblPrEx>
        <w:trPr>
          <w:cantSplit/>
          <w:trHeight w:val="397"/>
        </w:trPr>
        <w:tc>
          <w:tcPr>
            <w:tcW w:w="15304"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56D2A433" w14:textId="32DEBD81" w:rsidR="00EA0B41" w:rsidRPr="00C44970" w:rsidRDefault="00EA0B41" w:rsidP="00EA0B41">
            <w:pPr>
              <w:spacing w:after="0" w:line="240" w:lineRule="auto"/>
              <w:rPr>
                <w:rFonts w:eastAsia="Times New Roman" w:cs="Times New Roman"/>
                <w:color w:val="000000"/>
                <w:lang w:val="en-GB" w:eastAsia="en-GB" w:bidi="ar-SA"/>
              </w:rPr>
            </w:pPr>
            <w:r>
              <w:rPr>
                <w:rFonts w:eastAsia="Times New Roman" w:cs="Times New Roman"/>
                <w:color w:val="000000"/>
                <w:lang w:val="en-GB" w:eastAsia="en-GB" w:bidi="ar-SA"/>
              </w:rPr>
              <w:t xml:space="preserve">Indicator </w:t>
            </w:r>
            <w:r w:rsidRPr="00C44970">
              <w:rPr>
                <w:rFonts w:eastAsia="Times New Roman" w:cs="Times New Roman"/>
                <w:color w:val="000000"/>
                <w:lang w:val="en-GB" w:eastAsia="en-GB" w:bidi="ar-SA"/>
              </w:rPr>
              <w:t>3.1.2: # of apprenticeships established</w:t>
            </w:r>
          </w:p>
        </w:tc>
      </w:tr>
      <w:tr w:rsidR="00EA0B41" w:rsidRPr="00FA56CA" w14:paraId="54D86001" w14:textId="77777777" w:rsidTr="00EA0B41">
        <w:tblPrEx>
          <w:shd w:val="clear" w:color="auto" w:fill="FBE4D5" w:themeFill="accent2" w:themeFillTint="33"/>
        </w:tblPrEx>
        <w:trPr>
          <w:cantSplit/>
        </w:trPr>
        <w:tc>
          <w:tcPr>
            <w:tcW w:w="15304" w:type="dxa"/>
            <w:tcBorders>
              <w:top w:val="single" w:sz="4" w:space="0" w:color="auto"/>
            </w:tcBorders>
            <w:shd w:val="clear" w:color="auto" w:fill="FFFFFF" w:themeFill="background1"/>
          </w:tcPr>
          <w:p w14:paraId="5DCB87BD" w14:textId="77777777" w:rsidR="00EA0B41" w:rsidRDefault="00EA0B41" w:rsidP="00EA0B41">
            <w:pPr>
              <w:pStyle w:val="Default"/>
              <w:rPr>
                <w:rFonts w:asciiTheme="minorHAnsi" w:hAnsiTheme="minorHAnsi"/>
                <w:b/>
                <w:bCs/>
                <w:sz w:val="22"/>
                <w:szCs w:val="22"/>
                <w:lang w:val="en-US"/>
              </w:rPr>
            </w:pPr>
          </w:p>
          <w:p w14:paraId="056CE0B2" w14:textId="264C7259" w:rsidR="00EA0B41" w:rsidRPr="00C44970" w:rsidRDefault="00EA0B41" w:rsidP="00EA0B41">
            <w:pPr>
              <w:pStyle w:val="Default"/>
              <w:rPr>
                <w:rFonts w:asciiTheme="minorHAnsi" w:hAnsiTheme="minorHAnsi"/>
                <w:b/>
                <w:bCs/>
                <w:sz w:val="22"/>
                <w:szCs w:val="22"/>
                <w:lang w:val="en-US"/>
              </w:rPr>
            </w:pPr>
            <w:r w:rsidRPr="00C44970">
              <w:rPr>
                <w:rFonts w:asciiTheme="minorHAnsi" w:hAnsiTheme="minorHAnsi"/>
                <w:b/>
                <w:bCs/>
                <w:sz w:val="22"/>
                <w:szCs w:val="22"/>
                <w:lang w:val="en-US"/>
              </w:rPr>
              <w:t>Definition:</w:t>
            </w:r>
          </w:p>
          <w:p w14:paraId="3CF4CD41" w14:textId="77777777" w:rsidR="00EA0B41" w:rsidRPr="00C44970" w:rsidRDefault="00EA0B41" w:rsidP="00EA0B41">
            <w:pPr>
              <w:pStyle w:val="Default"/>
              <w:rPr>
                <w:rFonts w:asciiTheme="minorHAnsi" w:hAnsiTheme="minorHAnsi"/>
                <w:bCs/>
                <w:sz w:val="22"/>
                <w:szCs w:val="22"/>
                <w:lang w:val="en-US"/>
              </w:rPr>
            </w:pPr>
            <w:r w:rsidRPr="00C44970">
              <w:rPr>
                <w:rFonts w:asciiTheme="minorHAnsi" w:hAnsiTheme="minorHAnsi"/>
                <w:bCs/>
                <w:sz w:val="22"/>
                <w:szCs w:val="22"/>
                <w:lang w:val="en-US"/>
              </w:rPr>
              <w:t>An apprenticeship is a systematic long-term training for a recognized occupation taking place substantially within an undertaking or under an independent craftsman. It should be governed by a written contract of apprenticeship and subject to established standards (ILO 1962, cited in ILO 2013). This indicator records the number of apprenticeships established for individuals as a result of or supported by projects funded by Norwegian ODA.</w:t>
            </w:r>
          </w:p>
          <w:p w14:paraId="1673001F" w14:textId="77777777" w:rsidR="00EA0B41" w:rsidRPr="00C44970" w:rsidRDefault="00EA0B41" w:rsidP="00EA0B41">
            <w:pPr>
              <w:spacing w:after="0" w:line="240" w:lineRule="auto"/>
              <w:rPr>
                <w:rFonts w:eastAsia="Times New Roman" w:cs="Times New Roman"/>
                <w:color w:val="000000"/>
                <w:lang w:val="en-GB" w:eastAsia="en-GB" w:bidi="ar-SA"/>
              </w:rPr>
            </w:pPr>
          </w:p>
        </w:tc>
      </w:tr>
      <w:tr w:rsidR="00EA0B41" w:rsidRPr="00C44970" w14:paraId="436C02F6" w14:textId="77777777" w:rsidTr="00576D29">
        <w:tblPrEx>
          <w:shd w:val="clear" w:color="auto" w:fill="FBE4D5" w:themeFill="accent2" w:themeFillTint="33"/>
        </w:tblPrEx>
        <w:trPr>
          <w:cantSplit/>
        </w:trPr>
        <w:tc>
          <w:tcPr>
            <w:tcW w:w="15304" w:type="dxa"/>
            <w:shd w:val="clear" w:color="auto" w:fill="FFFFFF" w:themeFill="background1"/>
          </w:tcPr>
          <w:p w14:paraId="5BE6E1A9" w14:textId="7E15EAAD" w:rsidR="00EA0B41" w:rsidRPr="00C44970" w:rsidRDefault="00EA0B41" w:rsidP="00EA0B41">
            <w:pPr>
              <w:pStyle w:val="Default"/>
              <w:rPr>
                <w:rFonts w:eastAsia="Times New Roman" w:cs="Times New Roman"/>
                <w:lang w:val="en-GB" w:eastAsia="en-GB" w:bidi="ar-SA"/>
              </w:rPr>
            </w:pPr>
            <w:r w:rsidRPr="00C44970">
              <w:rPr>
                <w:rFonts w:asciiTheme="minorHAnsi" w:hAnsiTheme="minorHAnsi"/>
                <w:b/>
                <w:bCs/>
                <w:sz w:val="22"/>
                <w:szCs w:val="22"/>
                <w:lang w:val="en-US"/>
              </w:rPr>
              <w:t xml:space="preserve">Methodology: </w:t>
            </w:r>
            <w:r w:rsidRPr="00C44970">
              <w:rPr>
                <w:rFonts w:asciiTheme="minorHAnsi" w:hAnsiTheme="minorHAnsi"/>
                <w:bCs/>
                <w:sz w:val="22"/>
                <w:szCs w:val="22"/>
                <w:lang w:val="en-US"/>
              </w:rPr>
              <w:t xml:space="preserve">Record apprenticeships against the year in which they are established – i.e. the year in which the apprentice enters into </w:t>
            </w:r>
            <w:r>
              <w:rPr>
                <w:rFonts w:asciiTheme="minorHAnsi" w:hAnsiTheme="minorHAnsi"/>
                <w:bCs/>
                <w:sz w:val="22"/>
                <w:szCs w:val="22"/>
                <w:lang w:val="en-US"/>
              </w:rPr>
              <w:t>a</w:t>
            </w:r>
            <w:r w:rsidRPr="00C44970">
              <w:rPr>
                <w:rFonts w:asciiTheme="minorHAnsi" w:hAnsiTheme="minorHAnsi"/>
                <w:bCs/>
                <w:sz w:val="22"/>
                <w:szCs w:val="22"/>
                <w:lang w:val="en-US"/>
              </w:rPr>
              <w:t xml:space="preserve"> contract. Based on project records or beneficiary/ employer surveys.</w:t>
            </w:r>
          </w:p>
        </w:tc>
      </w:tr>
      <w:tr w:rsidR="00EA0B41" w:rsidRPr="00EA0B41" w14:paraId="6E31F0C0" w14:textId="77777777" w:rsidTr="00EA0B41">
        <w:tblPrEx>
          <w:shd w:val="clear" w:color="auto" w:fill="FBE4D5" w:themeFill="accent2" w:themeFillTint="33"/>
        </w:tblPrEx>
        <w:trPr>
          <w:cantSplit/>
        </w:trPr>
        <w:tc>
          <w:tcPr>
            <w:tcW w:w="15304" w:type="dxa"/>
            <w:tcBorders>
              <w:bottom w:val="single" w:sz="4" w:space="0" w:color="auto"/>
            </w:tcBorders>
            <w:shd w:val="clear" w:color="auto" w:fill="FFFFFF" w:themeFill="background1"/>
          </w:tcPr>
          <w:p w14:paraId="3D8D3B8A" w14:textId="31D184BB" w:rsidR="00EA0B41" w:rsidRPr="00EA0B41" w:rsidRDefault="00EA0B41" w:rsidP="00EA0B41">
            <w:pPr>
              <w:pStyle w:val="Default"/>
              <w:rPr>
                <w:rFonts w:asciiTheme="minorHAnsi" w:hAnsiTheme="minorHAnsi"/>
                <w:bCs/>
                <w:sz w:val="22"/>
                <w:szCs w:val="22"/>
                <w:lang w:val="en-US"/>
              </w:rPr>
            </w:pPr>
            <w:r>
              <w:rPr>
                <w:rFonts w:asciiTheme="minorHAnsi" w:hAnsiTheme="minorHAnsi"/>
                <w:b/>
                <w:bCs/>
                <w:sz w:val="22"/>
                <w:szCs w:val="22"/>
                <w:lang w:val="en-US"/>
              </w:rPr>
              <w:t xml:space="preserve">Type of indicator: </w:t>
            </w:r>
            <w:r>
              <w:rPr>
                <w:rFonts w:asciiTheme="minorHAnsi" w:hAnsiTheme="minorHAnsi"/>
                <w:bCs/>
                <w:sz w:val="22"/>
                <w:szCs w:val="22"/>
                <w:lang w:val="en-US"/>
              </w:rPr>
              <w:t xml:space="preserve">Output, </w:t>
            </w:r>
            <w:r w:rsidRPr="00752B57">
              <w:rPr>
                <w:rFonts w:asciiTheme="minorHAnsi" w:hAnsiTheme="minorHAnsi"/>
                <w:bCs/>
                <w:sz w:val="22"/>
                <w:szCs w:val="22"/>
                <w:lang w:val="en-US"/>
              </w:rPr>
              <w:t>cumulative</w:t>
            </w:r>
          </w:p>
        </w:tc>
      </w:tr>
      <w:tr w:rsidR="00EA0B41" w:rsidRPr="00FA56CA" w14:paraId="070641E8" w14:textId="77777777" w:rsidTr="00EA0B41">
        <w:tblPrEx>
          <w:shd w:val="clear" w:color="auto" w:fill="FBE4D5" w:themeFill="accent2" w:themeFillTint="33"/>
        </w:tblPrEx>
        <w:trPr>
          <w:cantSplit/>
          <w:trHeight w:val="340"/>
        </w:trPr>
        <w:tc>
          <w:tcPr>
            <w:tcW w:w="15304"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21BA66CB" w14:textId="09D1CA78" w:rsidR="00EA0B41" w:rsidRPr="00C44970" w:rsidRDefault="00EA0B41" w:rsidP="00EA0B41">
            <w:pPr>
              <w:spacing w:after="0" w:line="240" w:lineRule="auto"/>
              <w:rPr>
                <w:rFonts w:eastAsia="Times New Roman" w:cs="Times New Roman"/>
                <w:color w:val="000000"/>
                <w:lang w:val="en-GB" w:eastAsia="en-GB" w:bidi="ar-SA"/>
              </w:rPr>
            </w:pPr>
            <w:r>
              <w:rPr>
                <w:rFonts w:eastAsia="Times New Roman" w:cs="Times New Roman"/>
                <w:color w:val="000000"/>
                <w:lang w:val="en-GB" w:eastAsia="en-GB" w:bidi="ar-SA"/>
              </w:rPr>
              <w:t xml:space="preserve">Indicator </w:t>
            </w:r>
            <w:r w:rsidRPr="00C44970">
              <w:rPr>
                <w:rFonts w:eastAsia="Times New Roman" w:cs="Times New Roman"/>
                <w:color w:val="000000"/>
                <w:lang w:val="en-GB" w:eastAsia="en-GB" w:bidi="ar-SA"/>
              </w:rPr>
              <w:t>3.1.3: # of new/improved curricula with input from private sector and/or labour market analysis</w:t>
            </w:r>
            <w:r w:rsidR="00B04F80">
              <w:rPr>
                <w:rFonts w:eastAsia="Times New Roman" w:cs="Times New Roman"/>
                <w:color w:val="000000"/>
                <w:lang w:val="en-GB" w:eastAsia="en-GB" w:bidi="ar-SA"/>
              </w:rPr>
              <w:t xml:space="preserve"> (</w:t>
            </w:r>
            <w:r w:rsidR="00B04F80" w:rsidRPr="00B04F80">
              <w:rPr>
                <w:rFonts w:eastAsia="Times New Roman" w:cs="Times New Roman"/>
                <w:color w:val="000000"/>
                <w:lang w:val="en-GB" w:eastAsia="en-GB" w:bidi="ar-SA"/>
              </w:rPr>
              <w:t>TVET/Upper Secondary</w:t>
            </w:r>
            <w:r w:rsidR="00B04F80">
              <w:rPr>
                <w:rFonts w:eastAsia="Times New Roman" w:cs="Times New Roman"/>
                <w:color w:val="000000"/>
                <w:lang w:val="en-GB" w:eastAsia="en-GB" w:bidi="ar-SA"/>
              </w:rPr>
              <w:t>)</w:t>
            </w:r>
          </w:p>
        </w:tc>
      </w:tr>
      <w:tr w:rsidR="00EA0B41" w:rsidRPr="00FA56CA" w14:paraId="4CE21DAD" w14:textId="77777777" w:rsidTr="00EA0B41">
        <w:tblPrEx>
          <w:shd w:val="clear" w:color="auto" w:fill="FBE4D5" w:themeFill="accent2" w:themeFillTint="33"/>
        </w:tblPrEx>
        <w:trPr>
          <w:cantSplit/>
        </w:trPr>
        <w:tc>
          <w:tcPr>
            <w:tcW w:w="15304" w:type="dxa"/>
            <w:tcBorders>
              <w:top w:val="single" w:sz="4" w:space="0" w:color="auto"/>
            </w:tcBorders>
            <w:shd w:val="clear" w:color="auto" w:fill="FFFFFF" w:themeFill="background1"/>
          </w:tcPr>
          <w:p w14:paraId="161B11B0" w14:textId="77777777" w:rsidR="00EA0B41" w:rsidRPr="00C44970" w:rsidRDefault="00EA0B41" w:rsidP="00EA0B41">
            <w:pPr>
              <w:pStyle w:val="Default"/>
              <w:rPr>
                <w:rFonts w:asciiTheme="minorHAnsi" w:hAnsiTheme="minorHAnsi"/>
                <w:bCs/>
                <w:sz w:val="22"/>
                <w:szCs w:val="22"/>
                <w:lang w:val="en-US"/>
              </w:rPr>
            </w:pPr>
            <w:r w:rsidRPr="00C44970">
              <w:rPr>
                <w:rFonts w:asciiTheme="minorHAnsi" w:hAnsiTheme="minorHAnsi"/>
                <w:b/>
                <w:bCs/>
                <w:sz w:val="22"/>
                <w:szCs w:val="22"/>
                <w:lang w:val="en-US"/>
              </w:rPr>
              <w:t xml:space="preserve">Definition: </w:t>
            </w:r>
            <w:r w:rsidRPr="00C44970">
              <w:rPr>
                <w:rFonts w:asciiTheme="minorHAnsi" w:hAnsiTheme="minorHAnsi"/>
                <w:bCs/>
                <w:sz w:val="22"/>
                <w:szCs w:val="22"/>
                <w:lang w:val="en-US"/>
              </w:rPr>
              <w:t xml:space="preserve">new government curricula developed/ revised based on consultation with private sector/ and labor market analysis. The curriculum development process and/or the consultation/ labour market analysis should have been developed with support from Norwegian ODA </w:t>
            </w:r>
            <w:r>
              <w:rPr>
                <w:rFonts w:asciiTheme="minorHAnsi" w:hAnsiTheme="minorHAnsi"/>
                <w:bCs/>
                <w:sz w:val="22"/>
                <w:szCs w:val="22"/>
                <w:lang w:val="en-US"/>
              </w:rPr>
              <w:t xml:space="preserve">funded </w:t>
            </w:r>
            <w:r w:rsidRPr="00C44970">
              <w:rPr>
                <w:rFonts w:asciiTheme="minorHAnsi" w:hAnsiTheme="minorHAnsi"/>
                <w:bCs/>
                <w:sz w:val="22"/>
                <w:szCs w:val="22"/>
                <w:lang w:val="en-US"/>
              </w:rPr>
              <w:t xml:space="preserve">technical assistance. </w:t>
            </w:r>
          </w:p>
          <w:p w14:paraId="27824D74" w14:textId="77777777" w:rsidR="00EA0B41" w:rsidRPr="00C44970" w:rsidRDefault="00EA0B41" w:rsidP="00EA0B41">
            <w:pPr>
              <w:spacing w:after="0" w:line="240" w:lineRule="auto"/>
              <w:rPr>
                <w:rFonts w:eastAsia="Times New Roman" w:cs="Times New Roman"/>
                <w:color w:val="000000"/>
                <w:lang w:val="en-GB" w:eastAsia="en-GB" w:bidi="ar-SA"/>
              </w:rPr>
            </w:pPr>
          </w:p>
        </w:tc>
      </w:tr>
      <w:tr w:rsidR="00EA0B41" w:rsidRPr="00FA56CA" w14:paraId="7D27ED70" w14:textId="77777777" w:rsidTr="00576D29">
        <w:tblPrEx>
          <w:shd w:val="clear" w:color="auto" w:fill="FBE4D5" w:themeFill="accent2" w:themeFillTint="33"/>
        </w:tblPrEx>
        <w:trPr>
          <w:cantSplit/>
        </w:trPr>
        <w:tc>
          <w:tcPr>
            <w:tcW w:w="15304" w:type="dxa"/>
            <w:shd w:val="clear" w:color="auto" w:fill="FFFFFF" w:themeFill="background1"/>
          </w:tcPr>
          <w:p w14:paraId="2B47D0F4" w14:textId="5AEFC656" w:rsidR="00EA0B41" w:rsidRPr="00C44970" w:rsidRDefault="00EA0B41" w:rsidP="00EA0B41">
            <w:pPr>
              <w:pStyle w:val="Default"/>
              <w:rPr>
                <w:rFonts w:eastAsia="Times New Roman" w:cs="Times New Roman"/>
                <w:lang w:val="en-GB" w:eastAsia="en-GB" w:bidi="ar-SA"/>
              </w:rPr>
            </w:pPr>
            <w:r w:rsidRPr="00C44970">
              <w:rPr>
                <w:rFonts w:asciiTheme="minorHAnsi" w:hAnsiTheme="minorHAnsi"/>
                <w:b/>
                <w:bCs/>
                <w:sz w:val="22"/>
                <w:szCs w:val="22"/>
                <w:lang w:val="en-US"/>
              </w:rPr>
              <w:t xml:space="preserve">Methodology: </w:t>
            </w:r>
            <w:r w:rsidRPr="00C44970">
              <w:rPr>
                <w:rFonts w:asciiTheme="minorHAnsi" w:hAnsiTheme="minorHAnsi"/>
                <w:bCs/>
                <w:sz w:val="22"/>
                <w:szCs w:val="22"/>
                <w:lang w:val="en-US"/>
              </w:rPr>
              <w:t>Report for year the</w:t>
            </w:r>
            <w:r w:rsidRPr="00C44970">
              <w:rPr>
                <w:rFonts w:asciiTheme="minorHAnsi" w:hAnsiTheme="minorHAnsi"/>
                <w:b/>
                <w:bCs/>
                <w:sz w:val="22"/>
                <w:szCs w:val="22"/>
                <w:lang w:val="en-US"/>
              </w:rPr>
              <w:t xml:space="preserve"> </w:t>
            </w:r>
            <w:r w:rsidRPr="00C44970">
              <w:rPr>
                <w:rFonts w:asciiTheme="minorHAnsi" w:hAnsiTheme="minorHAnsi"/>
                <w:bCs/>
                <w:sz w:val="22"/>
                <w:szCs w:val="22"/>
                <w:lang w:val="en-US"/>
              </w:rPr>
              <w:t>new/ revised</w:t>
            </w:r>
            <w:r w:rsidRPr="00C44970">
              <w:rPr>
                <w:rFonts w:asciiTheme="minorHAnsi" w:hAnsiTheme="minorHAnsi"/>
                <w:b/>
                <w:bCs/>
                <w:sz w:val="22"/>
                <w:szCs w:val="22"/>
                <w:lang w:val="en-US"/>
              </w:rPr>
              <w:t xml:space="preserve"> </w:t>
            </w:r>
            <w:r w:rsidRPr="00C44970">
              <w:rPr>
                <w:rFonts w:asciiTheme="minorHAnsi" w:hAnsiTheme="minorHAnsi"/>
                <w:bCs/>
                <w:sz w:val="22"/>
                <w:szCs w:val="22"/>
                <w:lang w:val="en-US"/>
              </w:rPr>
              <w:t>curriculum is approved by government</w:t>
            </w:r>
          </w:p>
        </w:tc>
      </w:tr>
      <w:tr w:rsidR="00EA0B41" w:rsidRPr="00FA56CA" w14:paraId="6DA0C6A8" w14:textId="77777777" w:rsidTr="00EA0B41">
        <w:tblPrEx>
          <w:shd w:val="clear" w:color="auto" w:fill="FBE4D5" w:themeFill="accent2" w:themeFillTint="33"/>
        </w:tblPrEx>
        <w:trPr>
          <w:cantSplit/>
        </w:trPr>
        <w:tc>
          <w:tcPr>
            <w:tcW w:w="15304" w:type="dxa"/>
            <w:tcBorders>
              <w:bottom w:val="single" w:sz="4" w:space="0" w:color="auto"/>
            </w:tcBorders>
            <w:shd w:val="clear" w:color="auto" w:fill="FFFFFF" w:themeFill="background1"/>
          </w:tcPr>
          <w:p w14:paraId="1A19DF86" w14:textId="4E07A6DB" w:rsidR="00EA0B41" w:rsidRPr="00C44970" w:rsidRDefault="00EA0B41" w:rsidP="00EA0B41">
            <w:pPr>
              <w:pStyle w:val="Default"/>
              <w:rPr>
                <w:rFonts w:asciiTheme="minorHAnsi" w:hAnsiTheme="minorHAnsi"/>
                <w:b/>
                <w:bCs/>
                <w:sz w:val="22"/>
                <w:szCs w:val="22"/>
                <w:lang w:val="en-US"/>
              </w:rPr>
            </w:pPr>
            <w:r>
              <w:rPr>
                <w:rFonts w:asciiTheme="minorHAnsi" w:hAnsiTheme="minorHAnsi"/>
                <w:b/>
                <w:bCs/>
                <w:sz w:val="22"/>
                <w:szCs w:val="22"/>
                <w:lang w:val="en-US"/>
              </w:rPr>
              <w:t xml:space="preserve">Type of indicator: </w:t>
            </w:r>
            <w:r>
              <w:rPr>
                <w:rFonts w:asciiTheme="minorHAnsi" w:hAnsiTheme="minorHAnsi"/>
                <w:bCs/>
                <w:sz w:val="22"/>
                <w:szCs w:val="22"/>
                <w:lang w:val="en-US"/>
              </w:rPr>
              <w:t xml:space="preserve">Output, </w:t>
            </w:r>
            <w:r w:rsidRPr="00752B57">
              <w:rPr>
                <w:rFonts w:asciiTheme="minorHAnsi" w:hAnsiTheme="minorHAnsi"/>
                <w:bCs/>
                <w:sz w:val="22"/>
                <w:szCs w:val="22"/>
                <w:lang w:val="en-US"/>
              </w:rPr>
              <w:t>cumulative</w:t>
            </w:r>
          </w:p>
        </w:tc>
      </w:tr>
      <w:tr w:rsidR="00EA0B41" w:rsidRPr="00FA56CA" w14:paraId="730E0D78" w14:textId="77777777" w:rsidTr="00EA0B41">
        <w:trPr>
          <w:cantSplit/>
          <w:trHeight w:val="397"/>
        </w:trPr>
        <w:tc>
          <w:tcPr>
            <w:tcW w:w="15304"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7FCCE8DB" w14:textId="4A69A243" w:rsidR="00EA0B41" w:rsidRPr="00C44970" w:rsidRDefault="00EA0B41" w:rsidP="00B04F80">
            <w:pPr>
              <w:spacing w:after="0" w:line="240" w:lineRule="auto"/>
              <w:rPr>
                <w:rFonts w:eastAsia="Times New Roman" w:cs="Times New Roman"/>
                <w:color w:val="000000"/>
                <w:lang w:val="en-GB" w:eastAsia="en-GB" w:bidi="ar-SA"/>
              </w:rPr>
            </w:pPr>
            <w:r w:rsidRPr="00C44970">
              <w:rPr>
                <w:rFonts w:eastAsia="Times New Roman" w:cs="Times New Roman"/>
                <w:color w:val="000000"/>
                <w:lang w:val="en-GB" w:eastAsia="en-GB" w:bidi="ar-SA"/>
              </w:rPr>
              <w:t>3.1.4: # of scholarships/ conditional cash transfers/ fee waivers</w:t>
            </w:r>
            <w:r>
              <w:rPr>
                <w:rFonts w:eastAsia="Times New Roman" w:cs="Times New Roman"/>
                <w:color w:val="000000"/>
                <w:lang w:val="en-GB" w:eastAsia="en-GB" w:bidi="ar-SA"/>
              </w:rPr>
              <w:t>/other incentives</w:t>
            </w:r>
            <w:r w:rsidRPr="00C44970">
              <w:rPr>
                <w:rFonts w:eastAsia="Times New Roman" w:cs="Times New Roman"/>
                <w:color w:val="000000"/>
                <w:lang w:val="en-GB" w:eastAsia="en-GB" w:bidi="ar-SA"/>
              </w:rPr>
              <w:t xml:space="preserve"> to marginalised youth in TVET and upper secondary</w:t>
            </w:r>
            <w:r w:rsidR="00B04F80">
              <w:rPr>
                <w:rFonts w:eastAsia="Times New Roman" w:cs="Times New Roman"/>
                <w:color w:val="000000"/>
                <w:lang w:val="en-GB" w:eastAsia="en-GB" w:bidi="ar-SA"/>
              </w:rPr>
              <w:t xml:space="preserve"> (s</w:t>
            </w:r>
            <w:r w:rsidR="00B04F80" w:rsidRPr="00B04F80">
              <w:rPr>
                <w:rFonts w:eastAsia="Times New Roman" w:cs="Times New Roman"/>
                <w:color w:val="000000"/>
                <w:lang w:val="en-GB" w:eastAsia="en-GB" w:bidi="ar-SA"/>
              </w:rPr>
              <w:t>ex</w:t>
            </w:r>
            <w:r w:rsidR="00B04F80">
              <w:rPr>
                <w:rFonts w:eastAsia="Times New Roman" w:cs="Times New Roman"/>
                <w:color w:val="000000"/>
                <w:lang w:val="en-GB" w:eastAsia="en-GB" w:bidi="ar-SA"/>
              </w:rPr>
              <w:t xml:space="preserve">, </w:t>
            </w:r>
            <w:r w:rsidR="00B04F80" w:rsidRPr="00B04F80">
              <w:rPr>
                <w:rFonts w:eastAsia="Times New Roman" w:cs="Times New Roman"/>
                <w:color w:val="000000"/>
                <w:lang w:val="en-GB" w:eastAsia="en-GB" w:bidi="ar-SA"/>
              </w:rPr>
              <w:t>TVET/Upper Secondary</w:t>
            </w:r>
            <w:r w:rsidR="00B04F80">
              <w:rPr>
                <w:rFonts w:eastAsia="Times New Roman" w:cs="Times New Roman"/>
                <w:color w:val="000000"/>
                <w:lang w:val="en-GB" w:eastAsia="en-GB" w:bidi="ar-SA"/>
              </w:rPr>
              <w:t>, t</w:t>
            </w:r>
            <w:r w:rsidR="00B04F80" w:rsidRPr="00B04F80">
              <w:rPr>
                <w:rFonts w:eastAsia="Times New Roman" w:cs="Times New Roman"/>
                <w:color w:val="000000"/>
                <w:lang w:val="en-GB" w:eastAsia="en-GB" w:bidi="ar-SA"/>
              </w:rPr>
              <w:t xml:space="preserve">ype of marginalisation </w:t>
            </w:r>
            <w:r w:rsidR="00B04F80">
              <w:rPr>
                <w:rFonts w:eastAsia="Times New Roman" w:cs="Times New Roman"/>
                <w:color w:val="000000"/>
                <w:lang w:val="en-GB" w:eastAsia="en-GB" w:bidi="ar-SA"/>
              </w:rPr>
              <w:t>(if available)</w:t>
            </w:r>
          </w:p>
        </w:tc>
      </w:tr>
      <w:tr w:rsidR="00EA0B41" w:rsidRPr="00FA56CA" w14:paraId="4AB2FCFE" w14:textId="77777777" w:rsidTr="00EA0B41">
        <w:trPr>
          <w:cantSplit/>
        </w:trPr>
        <w:tc>
          <w:tcPr>
            <w:tcW w:w="15304" w:type="dxa"/>
            <w:tcBorders>
              <w:top w:val="single" w:sz="4" w:space="0" w:color="auto"/>
            </w:tcBorders>
            <w:shd w:val="clear" w:color="auto" w:fill="FFFFFF" w:themeFill="background1"/>
          </w:tcPr>
          <w:p w14:paraId="2ED2ACA6" w14:textId="5CBCB2A8" w:rsidR="00EA0B41" w:rsidRPr="008B70D2" w:rsidRDefault="008B70D2" w:rsidP="00EA0B41">
            <w:pPr>
              <w:pStyle w:val="Default"/>
              <w:rPr>
                <w:rFonts w:asciiTheme="minorHAnsi" w:hAnsiTheme="minorHAnsi"/>
                <w:b/>
                <w:bCs/>
                <w:sz w:val="22"/>
                <w:szCs w:val="22"/>
                <w:lang w:val="en-US"/>
              </w:rPr>
            </w:pPr>
            <w:r w:rsidRPr="008B70D2">
              <w:rPr>
                <w:rFonts w:asciiTheme="minorHAnsi" w:hAnsiTheme="minorHAnsi"/>
                <w:b/>
                <w:bCs/>
                <w:sz w:val="22"/>
                <w:szCs w:val="22"/>
                <w:lang w:val="en-US"/>
              </w:rPr>
              <w:t>Number of youth of post compulsory school age that are disadvantaged in terms of access to TVET and upper secondary provided with t</w:t>
            </w:r>
            <w:r w:rsidRPr="008B70D2">
              <w:rPr>
                <w:rFonts w:asciiTheme="minorHAnsi" w:hAnsiTheme="minorHAnsi"/>
                <w:b/>
                <w:bCs/>
                <w:sz w:val="22"/>
                <w:szCs w:val="22"/>
                <w:lang w:val="en-US"/>
              </w:rPr>
              <w:t xml:space="preserve">argeted financial support </w:t>
            </w:r>
            <w:r w:rsidRPr="008B70D2">
              <w:rPr>
                <w:rFonts w:asciiTheme="minorHAnsi" w:hAnsiTheme="minorHAnsi"/>
                <w:b/>
                <w:bCs/>
                <w:sz w:val="22"/>
                <w:szCs w:val="22"/>
                <w:lang w:val="en-US"/>
              </w:rPr>
              <w:t xml:space="preserve">with the purpose of </w:t>
            </w:r>
            <w:r w:rsidRPr="008B70D2">
              <w:rPr>
                <w:rFonts w:asciiTheme="minorHAnsi" w:hAnsiTheme="minorHAnsi"/>
                <w:b/>
                <w:bCs/>
                <w:sz w:val="22"/>
                <w:szCs w:val="22"/>
                <w:lang w:val="en-US"/>
              </w:rPr>
              <w:t>enabling them to enroll in/ stay in education and training.</w:t>
            </w:r>
          </w:p>
          <w:p w14:paraId="24BD5249" w14:textId="77777777" w:rsidR="008B70D2" w:rsidRDefault="008B70D2" w:rsidP="00EA0B41">
            <w:pPr>
              <w:pStyle w:val="Default"/>
              <w:rPr>
                <w:rFonts w:asciiTheme="minorHAnsi" w:hAnsiTheme="minorHAnsi"/>
                <w:b/>
                <w:bCs/>
                <w:sz w:val="22"/>
                <w:szCs w:val="22"/>
                <w:lang w:val="en-US"/>
              </w:rPr>
            </w:pPr>
          </w:p>
          <w:p w14:paraId="63362D00" w14:textId="5297CDC1" w:rsidR="00EA0B41" w:rsidRDefault="00EA0B41" w:rsidP="00EA0B41">
            <w:pPr>
              <w:pStyle w:val="Default"/>
              <w:rPr>
                <w:rFonts w:asciiTheme="minorHAnsi" w:hAnsiTheme="minorHAnsi"/>
                <w:b/>
                <w:bCs/>
                <w:sz w:val="22"/>
                <w:szCs w:val="22"/>
                <w:lang w:val="en-US"/>
              </w:rPr>
            </w:pPr>
            <w:r w:rsidRPr="00C44970">
              <w:rPr>
                <w:rFonts w:asciiTheme="minorHAnsi" w:hAnsiTheme="minorHAnsi"/>
                <w:b/>
                <w:bCs/>
                <w:sz w:val="22"/>
                <w:szCs w:val="22"/>
                <w:lang w:val="en-US"/>
              </w:rPr>
              <w:t xml:space="preserve">Definition: </w:t>
            </w:r>
          </w:p>
          <w:p w14:paraId="3A589370" w14:textId="77777777" w:rsidR="008B70D2" w:rsidRPr="00C44970" w:rsidRDefault="008B70D2" w:rsidP="008B70D2">
            <w:pPr>
              <w:pStyle w:val="Default"/>
              <w:rPr>
                <w:rFonts w:asciiTheme="minorHAnsi" w:hAnsiTheme="minorHAnsi"/>
                <w:bCs/>
                <w:sz w:val="22"/>
                <w:szCs w:val="22"/>
                <w:lang w:val="en-US"/>
              </w:rPr>
            </w:pPr>
            <w:r>
              <w:rPr>
                <w:rFonts w:asciiTheme="minorHAnsi" w:hAnsiTheme="minorHAnsi"/>
                <w:b/>
                <w:bCs/>
                <w:sz w:val="22"/>
                <w:szCs w:val="22"/>
                <w:lang w:val="en-US"/>
              </w:rPr>
              <w:t xml:space="preserve">Marginalised youth: </w:t>
            </w:r>
            <w:r w:rsidRPr="00C44970">
              <w:rPr>
                <w:rFonts w:asciiTheme="minorHAnsi" w:hAnsiTheme="minorHAnsi"/>
                <w:bCs/>
                <w:sz w:val="22"/>
                <w:szCs w:val="22"/>
                <w:lang w:val="en-US"/>
              </w:rPr>
              <w:t>Marginalized youth can include youth from poor households, youth from poor/remote areas, youth with disabilities, youth affected by conflict and crisis, youth from marginalized ethnic groups. Girls (or boys) may be considered a marginalized group in themselves in contexts where the gender parity index for access to the target level of education/ training is below 0.8 (or above 1.25). This indicator gives the number of children/adolescents receiving support for the reporting school year. This indicator refers to upper secondary education and post compulsory TVET. For scholarships at the primary/ lower secondary school level, see indicators 1.3.2</w:t>
            </w:r>
          </w:p>
          <w:p w14:paraId="774FC7DA" w14:textId="61158194" w:rsidR="00EA0B41" w:rsidRPr="008B70D2" w:rsidRDefault="00EA0B41" w:rsidP="008B70D2">
            <w:pPr>
              <w:pStyle w:val="Default"/>
              <w:rPr>
                <w:rFonts w:asciiTheme="minorHAnsi" w:hAnsiTheme="minorHAnsi"/>
                <w:bCs/>
                <w:sz w:val="22"/>
                <w:szCs w:val="22"/>
                <w:lang w:val="en-US"/>
              </w:rPr>
            </w:pPr>
            <w:r w:rsidRPr="00B33ECB">
              <w:rPr>
                <w:rFonts w:asciiTheme="minorHAnsi" w:hAnsiTheme="minorHAnsi"/>
                <w:b/>
                <w:bCs/>
                <w:sz w:val="22"/>
                <w:szCs w:val="22"/>
                <w:lang w:val="en-US"/>
              </w:rPr>
              <w:t>Additional support:</w:t>
            </w:r>
            <w:r>
              <w:rPr>
                <w:rFonts w:asciiTheme="minorHAnsi" w:hAnsiTheme="minorHAnsi"/>
                <w:bCs/>
                <w:sz w:val="22"/>
                <w:szCs w:val="22"/>
                <w:lang w:val="en-US"/>
              </w:rPr>
              <w:t xml:space="preserve"> Can include scholarships, conditional cash transfers, fee waivers, school material s</w:t>
            </w:r>
            <w:r w:rsidR="008B70D2">
              <w:rPr>
                <w:rFonts w:asciiTheme="minorHAnsi" w:hAnsiTheme="minorHAnsi"/>
                <w:bCs/>
                <w:sz w:val="22"/>
                <w:szCs w:val="22"/>
                <w:lang w:val="en-US"/>
              </w:rPr>
              <w:t xml:space="preserve">upport, take home rations etc. </w:t>
            </w:r>
          </w:p>
        </w:tc>
      </w:tr>
      <w:tr w:rsidR="00EA0B41" w:rsidRPr="00FA56CA" w14:paraId="0ABFB754" w14:textId="77777777" w:rsidTr="008B70D2">
        <w:trPr>
          <w:cantSplit/>
        </w:trPr>
        <w:tc>
          <w:tcPr>
            <w:tcW w:w="15304" w:type="dxa"/>
            <w:tcBorders>
              <w:bottom w:val="single" w:sz="4" w:space="0" w:color="auto"/>
            </w:tcBorders>
            <w:shd w:val="clear" w:color="auto" w:fill="FFFFFF" w:themeFill="background1"/>
          </w:tcPr>
          <w:p w14:paraId="4FA06D6C" w14:textId="77777777" w:rsidR="00EA0B41" w:rsidRPr="00C44970" w:rsidRDefault="00EA0B41" w:rsidP="00EA0B41">
            <w:pPr>
              <w:pStyle w:val="Default"/>
              <w:rPr>
                <w:rFonts w:asciiTheme="minorHAnsi" w:hAnsiTheme="minorHAnsi"/>
                <w:bCs/>
                <w:sz w:val="22"/>
                <w:szCs w:val="22"/>
                <w:lang w:val="en-US"/>
              </w:rPr>
            </w:pPr>
            <w:r w:rsidRPr="00C44970">
              <w:rPr>
                <w:rFonts w:asciiTheme="minorHAnsi" w:hAnsiTheme="minorHAnsi"/>
                <w:b/>
                <w:bCs/>
                <w:sz w:val="22"/>
                <w:szCs w:val="22"/>
                <w:lang w:val="en-US"/>
              </w:rPr>
              <w:t xml:space="preserve">Methodology: </w:t>
            </w:r>
            <w:r w:rsidRPr="00C44970">
              <w:rPr>
                <w:rFonts w:asciiTheme="minorHAnsi" w:hAnsiTheme="minorHAnsi"/>
                <w:bCs/>
                <w:sz w:val="22"/>
                <w:szCs w:val="22"/>
                <w:lang w:val="en-US"/>
              </w:rPr>
              <w:t>Based on project records.</w:t>
            </w:r>
            <w:r w:rsidRPr="00C44970">
              <w:rPr>
                <w:rFonts w:asciiTheme="minorHAnsi" w:hAnsiTheme="minorHAnsi"/>
                <w:b/>
                <w:bCs/>
                <w:sz w:val="22"/>
                <w:szCs w:val="22"/>
                <w:lang w:val="en-US"/>
              </w:rPr>
              <w:t xml:space="preserve"> </w:t>
            </w:r>
            <w:r w:rsidRPr="00C44970">
              <w:rPr>
                <w:rFonts w:asciiTheme="minorHAnsi" w:hAnsiTheme="minorHAnsi"/>
                <w:bCs/>
                <w:sz w:val="22"/>
                <w:szCs w:val="22"/>
                <w:lang w:val="en-US"/>
              </w:rPr>
              <w:t>Reported annually and includes all youth in receipt of financial support during that reporting year (i.e</w:t>
            </w:r>
            <w:r>
              <w:rPr>
                <w:rFonts w:asciiTheme="minorHAnsi" w:hAnsiTheme="minorHAnsi"/>
                <w:bCs/>
                <w:sz w:val="22"/>
                <w:szCs w:val="22"/>
                <w:lang w:val="en-US"/>
              </w:rPr>
              <w:t>. aggregates for this indicator</w:t>
            </w:r>
            <w:r w:rsidRPr="00C44970">
              <w:rPr>
                <w:rFonts w:asciiTheme="minorHAnsi" w:hAnsiTheme="minorHAnsi"/>
                <w:bCs/>
                <w:sz w:val="22"/>
                <w:szCs w:val="22"/>
                <w:lang w:val="en-US"/>
              </w:rPr>
              <w:t xml:space="preserve"> over multiple years gives number of student-years supported financially, rather than number of individual youth supported. This enables different schemes of different lengths to be aggregated and compared)</w:t>
            </w:r>
          </w:p>
          <w:p w14:paraId="58929735" w14:textId="586EA723" w:rsidR="00EA0B41" w:rsidRPr="00C44970" w:rsidRDefault="008B70D2" w:rsidP="00EA0B41">
            <w:pPr>
              <w:spacing w:after="0" w:line="240" w:lineRule="auto"/>
              <w:rPr>
                <w:rFonts w:eastAsia="Times New Roman" w:cs="Times New Roman"/>
                <w:color w:val="000000"/>
                <w:lang w:val="en-GB" w:eastAsia="en-GB" w:bidi="ar-SA"/>
              </w:rPr>
            </w:pPr>
            <w:r>
              <w:rPr>
                <w:b/>
                <w:bCs/>
                <w:lang w:val="en-US"/>
              </w:rPr>
              <w:t xml:space="preserve">Type of indicator: </w:t>
            </w:r>
            <w:r>
              <w:rPr>
                <w:bCs/>
                <w:lang w:val="en-US"/>
              </w:rPr>
              <w:t xml:space="preserve">Output, </w:t>
            </w:r>
            <w:r w:rsidRPr="00752B57">
              <w:rPr>
                <w:bCs/>
                <w:lang w:val="en-US"/>
              </w:rPr>
              <w:t>cumulative</w:t>
            </w:r>
          </w:p>
        </w:tc>
      </w:tr>
      <w:tr w:rsidR="00EA0B41" w:rsidRPr="00FA56CA" w14:paraId="3B18D092" w14:textId="77777777" w:rsidTr="008B70D2">
        <w:trPr>
          <w:cantSplit/>
          <w:trHeight w:val="397"/>
        </w:trPr>
        <w:tc>
          <w:tcPr>
            <w:tcW w:w="15304"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77E8DAA4" w14:textId="72ACA715" w:rsidR="00EA0B41" w:rsidRPr="00C44970" w:rsidRDefault="00EA0B41" w:rsidP="008B70D2">
            <w:pPr>
              <w:spacing w:after="0" w:line="240" w:lineRule="auto"/>
              <w:rPr>
                <w:rFonts w:eastAsia="Times New Roman" w:cs="Times New Roman"/>
                <w:color w:val="000000"/>
                <w:lang w:val="en-GB" w:eastAsia="en-GB" w:bidi="ar-SA"/>
              </w:rPr>
            </w:pPr>
            <w:r w:rsidRPr="00C44970">
              <w:rPr>
                <w:rFonts w:eastAsia="Times New Roman" w:cs="Times New Roman"/>
                <w:color w:val="000000"/>
                <w:lang w:val="en-GB" w:eastAsia="en-GB" w:bidi="ar-SA"/>
              </w:rPr>
              <w:t>3.1.5: # of private sector – education authority</w:t>
            </w:r>
            <w:r w:rsidR="008B70D2" w:rsidRPr="008B70D2">
              <w:rPr>
                <w:rFonts w:eastAsia="Times New Roman" w:cs="Times New Roman"/>
                <w:lang w:val="en-GB" w:eastAsia="en-GB" w:bidi="ar-SA"/>
              </w:rPr>
              <w:t>/</w:t>
            </w:r>
            <w:r w:rsidRPr="008B70D2">
              <w:rPr>
                <w:rFonts w:eastAsia="Times New Roman" w:cs="Times New Roman"/>
                <w:lang w:val="en-GB" w:eastAsia="en-GB" w:bidi="ar-SA"/>
              </w:rPr>
              <w:t xml:space="preserve">institution </w:t>
            </w:r>
            <w:r w:rsidRPr="00C44970">
              <w:rPr>
                <w:rFonts w:eastAsia="Times New Roman" w:cs="Times New Roman"/>
                <w:color w:val="000000"/>
                <w:lang w:val="en-GB" w:eastAsia="en-GB" w:bidi="ar-SA"/>
              </w:rPr>
              <w:t>collaboration</w:t>
            </w:r>
            <w:r w:rsidR="008B70D2">
              <w:rPr>
                <w:rFonts w:eastAsia="Times New Roman" w:cs="Times New Roman"/>
                <w:color w:val="000000"/>
                <w:lang w:val="en-GB" w:eastAsia="en-GB" w:bidi="ar-SA"/>
              </w:rPr>
              <w:t>s established (with the purpose of bringing private sector skills and expertise to the vocational training sector)</w:t>
            </w:r>
          </w:p>
        </w:tc>
      </w:tr>
      <w:tr w:rsidR="00EA0B41" w:rsidRPr="00FA56CA" w14:paraId="0538DF99" w14:textId="77777777" w:rsidTr="008B70D2">
        <w:trPr>
          <w:cantSplit/>
        </w:trPr>
        <w:tc>
          <w:tcPr>
            <w:tcW w:w="15304" w:type="dxa"/>
            <w:tcBorders>
              <w:top w:val="single" w:sz="4" w:space="0" w:color="auto"/>
            </w:tcBorders>
            <w:shd w:val="clear" w:color="auto" w:fill="FFFFFF" w:themeFill="background1"/>
          </w:tcPr>
          <w:p w14:paraId="420648C8" w14:textId="7C20EF63" w:rsidR="00EA0B41" w:rsidRPr="00C44970" w:rsidRDefault="00EA0B41" w:rsidP="00EA0B41">
            <w:pPr>
              <w:pStyle w:val="Default"/>
              <w:rPr>
                <w:rFonts w:asciiTheme="minorHAnsi" w:hAnsiTheme="minorHAnsi"/>
                <w:b/>
                <w:bCs/>
                <w:sz w:val="22"/>
                <w:szCs w:val="22"/>
                <w:lang w:val="en-US"/>
              </w:rPr>
            </w:pPr>
            <w:r w:rsidRPr="00C44970">
              <w:rPr>
                <w:rFonts w:asciiTheme="minorHAnsi" w:hAnsiTheme="minorHAnsi"/>
                <w:b/>
                <w:bCs/>
                <w:sz w:val="22"/>
                <w:szCs w:val="22"/>
                <w:lang w:val="en-US"/>
              </w:rPr>
              <w:t>Definition:</w:t>
            </w:r>
            <w:r>
              <w:rPr>
                <w:rFonts w:asciiTheme="minorHAnsi" w:hAnsiTheme="minorHAnsi"/>
                <w:b/>
                <w:bCs/>
                <w:sz w:val="22"/>
                <w:szCs w:val="22"/>
                <w:lang w:val="en-US"/>
              </w:rPr>
              <w:t xml:space="preserve"> </w:t>
            </w:r>
            <w:r w:rsidRPr="007D10C7">
              <w:rPr>
                <w:rFonts w:asciiTheme="minorHAnsi" w:hAnsiTheme="minorHAnsi"/>
                <w:bCs/>
                <w:sz w:val="22"/>
                <w:szCs w:val="22"/>
                <w:lang w:val="en-US"/>
              </w:rPr>
              <w:t>Formalized partnership between a private sector business</w:t>
            </w:r>
            <w:r w:rsidR="008B70D2">
              <w:rPr>
                <w:rFonts w:asciiTheme="minorHAnsi" w:hAnsiTheme="minorHAnsi"/>
                <w:bCs/>
                <w:sz w:val="22"/>
                <w:szCs w:val="22"/>
                <w:lang w:val="en-US"/>
              </w:rPr>
              <w:t xml:space="preserve"> and</w:t>
            </w:r>
            <w:r>
              <w:rPr>
                <w:rFonts w:asciiTheme="minorHAnsi" w:hAnsiTheme="minorHAnsi"/>
                <w:bCs/>
                <w:sz w:val="22"/>
                <w:szCs w:val="22"/>
                <w:lang w:val="en-US"/>
              </w:rPr>
              <w:t xml:space="preserve"> </w:t>
            </w:r>
            <w:r w:rsidR="008B70D2">
              <w:rPr>
                <w:rFonts w:asciiTheme="minorHAnsi" w:hAnsiTheme="minorHAnsi"/>
                <w:bCs/>
                <w:sz w:val="22"/>
                <w:szCs w:val="22"/>
                <w:lang w:val="en-US"/>
              </w:rPr>
              <w:t xml:space="preserve">vocational </w:t>
            </w:r>
            <w:r>
              <w:rPr>
                <w:rFonts w:asciiTheme="minorHAnsi" w:hAnsiTheme="minorHAnsi"/>
                <w:bCs/>
                <w:sz w:val="22"/>
                <w:szCs w:val="22"/>
                <w:lang w:val="en-US"/>
              </w:rPr>
              <w:t>education or training institution</w:t>
            </w:r>
            <w:r w:rsidR="008B70D2">
              <w:rPr>
                <w:rFonts w:asciiTheme="minorHAnsi" w:hAnsiTheme="minorHAnsi"/>
                <w:bCs/>
                <w:sz w:val="22"/>
                <w:szCs w:val="22"/>
                <w:lang w:val="en-US"/>
              </w:rPr>
              <w:t>s</w:t>
            </w:r>
            <w:r>
              <w:rPr>
                <w:rFonts w:asciiTheme="minorHAnsi" w:hAnsiTheme="minorHAnsi"/>
                <w:bCs/>
                <w:sz w:val="22"/>
                <w:szCs w:val="22"/>
                <w:lang w:val="en-US"/>
              </w:rPr>
              <w:t xml:space="preserve"> or authorit</w:t>
            </w:r>
            <w:r w:rsidR="008B70D2">
              <w:rPr>
                <w:rFonts w:asciiTheme="minorHAnsi" w:hAnsiTheme="minorHAnsi"/>
                <w:bCs/>
                <w:sz w:val="22"/>
                <w:szCs w:val="22"/>
                <w:lang w:val="en-US"/>
              </w:rPr>
              <w:t>ies</w:t>
            </w:r>
            <w:r>
              <w:rPr>
                <w:rFonts w:asciiTheme="minorHAnsi" w:hAnsiTheme="minorHAnsi"/>
                <w:bCs/>
                <w:sz w:val="22"/>
                <w:szCs w:val="22"/>
                <w:lang w:val="en-US"/>
              </w:rPr>
              <w:t xml:space="preserve"> (local or national). This indicator is most likely to be relevant to projects supporting technical and vocational education, whether in schools or through other training providers. The partnership should include inputs from the private sector that contribute to the education and skills development of learners, for example, through provision of equipment, learning materials and/or work experience placements. The partnership should be formed with support from </w:t>
            </w:r>
            <w:r w:rsidR="00DA40BB">
              <w:rPr>
                <w:rFonts w:asciiTheme="minorHAnsi" w:hAnsiTheme="minorHAnsi"/>
                <w:bCs/>
                <w:sz w:val="22"/>
                <w:szCs w:val="22"/>
                <w:lang w:val="en-US"/>
              </w:rPr>
              <w:t xml:space="preserve">the programme/project. </w:t>
            </w:r>
          </w:p>
          <w:p w14:paraId="0622EF09" w14:textId="77777777" w:rsidR="00EA0B41" w:rsidRPr="00C44970" w:rsidRDefault="00EA0B41" w:rsidP="00EA0B41">
            <w:pPr>
              <w:spacing w:after="0" w:line="240" w:lineRule="auto"/>
              <w:rPr>
                <w:rFonts w:eastAsia="Times New Roman" w:cs="Times New Roman"/>
                <w:color w:val="000000"/>
                <w:lang w:val="en-GB" w:eastAsia="en-GB" w:bidi="ar-SA"/>
              </w:rPr>
            </w:pPr>
          </w:p>
        </w:tc>
      </w:tr>
      <w:tr w:rsidR="00EA0B41" w:rsidRPr="00FA56CA" w14:paraId="36EB3200" w14:textId="77777777" w:rsidTr="00576D29">
        <w:trPr>
          <w:cantSplit/>
        </w:trPr>
        <w:tc>
          <w:tcPr>
            <w:tcW w:w="15304" w:type="dxa"/>
            <w:shd w:val="clear" w:color="auto" w:fill="FFFFFF" w:themeFill="background1"/>
          </w:tcPr>
          <w:p w14:paraId="3AA0690F" w14:textId="4EDE8F32" w:rsidR="00EA0B41" w:rsidRPr="00C44970" w:rsidRDefault="00EA0B41" w:rsidP="008B70D2">
            <w:pPr>
              <w:pStyle w:val="Default"/>
              <w:rPr>
                <w:rFonts w:eastAsia="Times New Roman" w:cs="Times New Roman"/>
                <w:lang w:val="en-GB" w:eastAsia="en-GB" w:bidi="ar-SA"/>
              </w:rPr>
            </w:pPr>
            <w:r w:rsidRPr="00C44970">
              <w:rPr>
                <w:rFonts w:asciiTheme="minorHAnsi" w:hAnsiTheme="minorHAnsi"/>
                <w:b/>
                <w:bCs/>
                <w:sz w:val="22"/>
                <w:szCs w:val="22"/>
                <w:lang w:val="en-US"/>
              </w:rPr>
              <w:t xml:space="preserve">Methodology: </w:t>
            </w:r>
            <w:r w:rsidR="00DA40BB">
              <w:rPr>
                <w:rFonts w:asciiTheme="minorHAnsi" w:hAnsiTheme="minorHAnsi"/>
                <w:bCs/>
                <w:sz w:val="22"/>
                <w:szCs w:val="22"/>
                <w:lang w:val="en-US"/>
              </w:rPr>
              <w:t>B</w:t>
            </w:r>
            <w:r w:rsidRPr="007D10C7">
              <w:rPr>
                <w:rFonts w:asciiTheme="minorHAnsi" w:hAnsiTheme="minorHAnsi"/>
                <w:bCs/>
                <w:sz w:val="22"/>
                <w:szCs w:val="22"/>
                <w:lang w:val="en-US"/>
              </w:rPr>
              <w:t>ased on project records</w:t>
            </w:r>
            <w:r>
              <w:rPr>
                <w:rFonts w:asciiTheme="minorHAnsi" w:hAnsiTheme="minorHAnsi"/>
                <w:bCs/>
                <w:sz w:val="22"/>
                <w:szCs w:val="22"/>
                <w:lang w:val="en-US"/>
              </w:rPr>
              <w:t>. Reported annually against the year the partnership agreement is formalized and agreed.</w:t>
            </w:r>
          </w:p>
        </w:tc>
      </w:tr>
      <w:tr w:rsidR="008B70D2" w:rsidRPr="00FA56CA" w14:paraId="55F5B3BB" w14:textId="77777777" w:rsidTr="00576D29">
        <w:trPr>
          <w:cantSplit/>
        </w:trPr>
        <w:tc>
          <w:tcPr>
            <w:tcW w:w="15304" w:type="dxa"/>
            <w:shd w:val="clear" w:color="auto" w:fill="FFFFFF" w:themeFill="background1"/>
          </w:tcPr>
          <w:p w14:paraId="2284A68A" w14:textId="5219B072" w:rsidR="008B70D2" w:rsidRPr="00C44970" w:rsidRDefault="008B70D2" w:rsidP="00EA0B41">
            <w:pPr>
              <w:pStyle w:val="Default"/>
              <w:rPr>
                <w:rFonts w:asciiTheme="minorHAnsi" w:hAnsiTheme="minorHAnsi"/>
                <w:b/>
                <w:bCs/>
                <w:sz w:val="22"/>
                <w:szCs w:val="22"/>
                <w:lang w:val="en-US"/>
              </w:rPr>
            </w:pPr>
            <w:r>
              <w:rPr>
                <w:rFonts w:asciiTheme="minorHAnsi" w:hAnsiTheme="minorHAnsi"/>
                <w:b/>
                <w:bCs/>
                <w:sz w:val="22"/>
                <w:szCs w:val="22"/>
                <w:lang w:val="en-US"/>
              </w:rPr>
              <w:t xml:space="preserve">Type of indicator: </w:t>
            </w:r>
            <w:r>
              <w:rPr>
                <w:rFonts w:asciiTheme="minorHAnsi" w:hAnsiTheme="minorHAnsi"/>
                <w:bCs/>
                <w:sz w:val="22"/>
                <w:szCs w:val="22"/>
                <w:lang w:val="en-US"/>
              </w:rPr>
              <w:t xml:space="preserve">Output, </w:t>
            </w:r>
            <w:r w:rsidRPr="00752B57">
              <w:rPr>
                <w:rFonts w:asciiTheme="minorHAnsi" w:hAnsiTheme="minorHAnsi"/>
                <w:bCs/>
                <w:sz w:val="22"/>
                <w:szCs w:val="22"/>
                <w:lang w:val="en-US"/>
              </w:rPr>
              <w:t>cumulative</w:t>
            </w:r>
          </w:p>
        </w:tc>
      </w:tr>
    </w:tbl>
    <w:p w14:paraId="77EA03C3" w14:textId="77777777" w:rsidR="00E47D8F" w:rsidRDefault="00E47D8F" w:rsidP="00E47D8F">
      <w:pPr>
        <w:rPr>
          <w:highlight w:val="lightGray"/>
          <w:lang w:val="en-US"/>
        </w:rPr>
      </w:pPr>
    </w:p>
    <w:p w14:paraId="679F40E8" w14:textId="77777777" w:rsidR="00E47D8F" w:rsidRPr="00661414" w:rsidRDefault="00E47D8F" w:rsidP="00E47D8F">
      <w:pPr>
        <w:pStyle w:val="Heading1"/>
        <w:rPr>
          <w:highlight w:val="lightGray"/>
        </w:rPr>
      </w:pPr>
      <w:r w:rsidRPr="00661414">
        <w:t>Glossary</w:t>
      </w:r>
    </w:p>
    <w:tbl>
      <w:tblPr>
        <w:tblStyle w:val="TableGrid"/>
        <w:tblW w:w="0" w:type="auto"/>
        <w:tblLook w:val="04A0" w:firstRow="1" w:lastRow="0" w:firstColumn="1" w:lastColumn="0" w:noHBand="0" w:noVBand="1"/>
      </w:tblPr>
      <w:tblGrid>
        <w:gridCol w:w="2547"/>
        <w:gridCol w:w="12841"/>
      </w:tblGrid>
      <w:tr w:rsidR="00E47D8F" w:rsidRPr="00FA56CA" w14:paraId="0CEB7100" w14:textId="77777777" w:rsidTr="00E47D8F">
        <w:tc>
          <w:tcPr>
            <w:tcW w:w="2547" w:type="dxa"/>
          </w:tcPr>
          <w:p w14:paraId="630B2F74" w14:textId="77777777" w:rsidR="00E47D8F" w:rsidRPr="008E7291" w:rsidRDefault="00E47D8F" w:rsidP="00E47D8F">
            <w:pPr>
              <w:rPr>
                <w:rFonts w:cs="Arial"/>
                <w:color w:val="000000"/>
                <w:lang w:val="en-US"/>
              </w:rPr>
            </w:pPr>
            <w:r w:rsidRPr="008E7291">
              <w:rPr>
                <w:rFonts w:cs="Arial"/>
                <w:color w:val="000000"/>
                <w:lang w:val="en-US"/>
              </w:rPr>
              <w:t>Inclusive Education</w:t>
            </w:r>
          </w:p>
        </w:tc>
        <w:tc>
          <w:tcPr>
            <w:tcW w:w="12841" w:type="dxa"/>
          </w:tcPr>
          <w:p w14:paraId="3F286D07" w14:textId="77777777" w:rsidR="00E47D8F" w:rsidRPr="008E7291" w:rsidRDefault="00E47D8F" w:rsidP="00E47D8F">
            <w:pPr>
              <w:rPr>
                <w:rFonts w:cs="Arial"/>
                <w:color w:val="000000"/>
                <w:lang w:val="en-US"/>
              </w:rPr>
            </w:pPr>
            <w:r w:rsidRPr="008E7291">
              <w:rPr>
                <w:rFonts w:cs="Arial"/>
                <w:color w:val="000000"/>
                <w:lang w:val="en-US"/>
              </w:rPr>
              <w:t xml:space="preserve">Schools that accommodate all children regardless of their physical, intellectual, emotional, social, linguistic or other conditions (UNESCO 1994) </w:t>
            </w:r>
          </w:p>
        </w:tc>
      </w:tr>
      <w:tr w:rsidR="00E47D8F" w:rsidRPr="00FA56CA" w14:paraId="2ED52196" w14:textId="77777777" w:rsidTr="00E47D8F">
        <w:tc>
          <w:tcPr>
            <w:tcW w:w="2547" w:type="dxa"/>
          </w:tcPr>
          <w:p w14:paraId="3F5ABD1B" w14:textId="277CF662" w:rsidR="00E47D8F" w:rsidRDefault="00EA0B41" w:rsidP="00E47D8F">
            <w:pPr>
              <w:rPr>
                <w:highlight w:val="lightGray"/>
                <w:lang w:val="en-US"/>
              </w:rPr>
            </w:pPr>
            <w:r>
              <w:rPr>
                <w:bCs/>
                <w:lang w:val="en-US"/>
              </w:rPr>
              <w:t>M</w:t>
            </w:r>
            <w:r w:rsidR="00E47D8F">
              <w:rPr>
                <w:bCs/>
                <w:lang w:val="en-US"/>
              </w:rPr>
              <w:t>arginalized children/ adolescents</w:t>
            </w:r>
          </w:p>
        </w:tc>
        <w:tc>
          <w:tcPr>
            <w:tcW w:w="12841" w:type="dxa"/>
          </w:tcPr>
          <w:p w14:paraId="17157FD1" w14:textId="77777777" w:rsidR="00E47D8F" w:rsidRPr="00AE2563" w:rsidRDefault="00E47D8F" w:rsidP="00E47D8F">
            <w:pPr>
              <w:rPr>
                <w:bCs/>
                <w:lang w:val="en-US"/>
              </w:rPr>
            </w:pPr>
            <w:r>
              <w:rPr>
                <w:bCs/>
                <w:lang w:val="en-US"/>
              </w:rPr>
              <w:t>Includes out of school children/ adolescents, children/ adolescents from poor households, children/ adolescents from poor/remote areas, children/ adolescents with disabilities, children affected by conflict and crisis, children from marginalized ethnic groups. Girls (or boys) may be considered a marginalized group in themselves in contexts where the gender parity index for access to the target level of education is below 0.8 (or above 1.25)</w:t>
            </w:r>
          </w:p>
        </w:tc>
      </w:tr>
      <w:tr w:rsidR="00E47D8F" w:rsidRPr="00FA56CA" w14:paraId="7F13F1C1" w14:textId="77777777" w:rsidTr="00E47D8F">
        <w:tc>
          <w:tcPr>
            <w:tcW w:w="2547" w:type="dxa"/>
          </w:tcPr>
          <w:p w14:paraId="37EB2FE1" w14:textId="77777777" w:rsidR="00E47D8F" w:rsidRPr="00663A15" w:rsidRDefault="00E47D8F" w:rsidP="00E47D8F">
            <w:pPr>
              <w:rPr>
                <w:bCs/>
                <w:lang w:val="en-US"/>
              </w:rPr>
            </w:pPr>
            <w:r>
              <w:rPr>
                <w:bCs/>
                <w:lang w:val="en-US"/>
              </w:rPr>
              <w:t>Supported educational institution</w:t>
            </w:r>
          </w:p>
        </w:tc>
        <w:tc>
          <w:tcPr>
            <w:tcW w:w="12841" w:type="dxa"/>
          </w:tcPr>
          <w:p w14:paraId="5498A58D" w14:textId="77777777" w:rsidR="00E47D8F" w:rsidRDefault="00E47D8F" w:rsidP="00E47D8F">
            <w:pPr>
              <w:rPr>
                <w:lang w:val="en-US"/>
              </w:rPr>
            </w:pPr>
            <w:r>
              <w:rPr>
                <w:lang w:val="en-US"/>
              </w:rPr>
              <w:t xml:space="preserve">An institution can be counted as ‘supported’ when goods (books, learning materials, infrastructure) and services (e.g. training, inspectors/supervisor visits, training of SMC/PTA members) have been provided </w:t>
            </w:r>
            <w:r w:rsidRPr="00133A9F">
              <w:rPr>
                <w:b/>
                <w:bCs/>
                <w:lang w:val="en-US"/>
              </w:rPr>
              <w:t>directly</w:t>
            </w:r>
            <w:r>
              <w:rPr>
                <w:lang w:val="en-US"/>
              </w:rPr>
              <w:t xml:space="preserve"> to that institution through project funded by Norwegian ODA</w:t>
            </w:r>
          </w:p>
        </w:tc>
      </w:tr>
      <w:tr w:rsidR="00E47D8F" w:rsidRPr="00FA56CA" w14:paraId="2DDAE711" w14:textId="77777777" w:rsidTr="00E47D8F">
        <w:tc>
          <w:tcPr>
            <w:tcW w:w="2547" w:type="dxa"/>
          </w:tcPr>
          <w:p w14:paraId="3B2E69A8" w14:textId="19871829" w:rsidR="00E47D8F" w:rsidRDefault="00EA0B41" w:rsidP="00E47D8F">
            <w:pPr>
              <w:rPr>
                <w:highlight w:val="lightGray"/>
                <w:lang w:val="en-US"/>
              </w:rPr>
            </w:pPr>
            <w:r>
              <w:rPr>
                <w:bCs/>
                <w:lang w:val="en-US"/>
              </w:rPr>
              <w:t>T</w:t>
            </w:r>
            <w:r w:rsidR="00E47D8F">
              <w:rPr>
                <w:bCs/>
                <w:lang w:val="en-US"/>
              </w:rPr>
              <w:t>arget population</w:t>
            </w:r>
          </w:p>
        </w:tc>
        <w:tc>
          <w:tcPr>
            <w:tcW w:w="12841" w:type="dxa"/>
          </w:tcPr>
          <w:p w14:paraId="7E982546" w14:textId="77777777" w:rsidR="00E47D8F" w:rsidRPr="00AE2563" w:rsidRDefault="00E47D8F" w:rsidP="00E47D8F">
            <w:pPr>
              <w:rPr>
                <w:bCs/>
                <w:lang w:val="en-US"/>
              </w:rPr>
            </w:pPr>
            <w:r w:rsidRPr="00AE2563">
              <w:rPr>
                <w:bCs/>
                <w:lang w:val="en-US"/>
              </w:rPr>
              <w:t xml:space="preserve">The population that a project/ programme aims to benefit- could be </w:t>
            </w:r>
            <w:r>
              <w:rPr>
                <w:bCs/>
                <w:lang w:val="en-US"/>
              </w:rPr>
              <w:t>defined geographically (e.g. all children living within a geographic area/ an IDP camp) and/or by gender/ type of vulnerability/ age range.</w:t>
            </w:r>
          </w:p>
        </w:tc>
      </w:tr>
    </w:tbl>
    <w:p w14:paraId="41DF3BBC" w14:textId="77777777" w:rsidR="00E47D8F" w:rsidRPr="00661414" w:rsidRDefault="00E47D8F" w:rsidP="00E47D8F">
      <w:pPr>
        <w:pStyle w:val="Heading1"/>
        <w:rPr>
          <w:lang w:val="en-US"/>
        </w:rPr>
      </w:pPr>
      <w:r w:rsidRPr="00661414">
        <w:rPr>
          <w:lang w:val="en-US"/>
        </w:rPr>
        <w:t>References</w:t>
      </w:r>
    </w:p>
    <w:p w14:paraId="1CD9A412" w14:textId="77777777" w:rsidR="00E47D8F" w:rsidRPr="00FA56CA" w:rsidRDefault="00E47D8F" w:rsidP="00E47D8F">
      <w:r w:rsidRPr="006B036D">
        <w:rPr>
          <w:lang w:val="en-US"/>
        </w:rPr>
        <w:t xml:space="preserve">ILO (2013) Apprenticeship systems- what do we know? </w:t>
      </w:r>
      <w:hyperlink r:id="rId8" w:history="1">
        <w:r w:rsidRPr="00FA56CA">
          <w:rPr>
            <w:rStyle w:val="Hyperlink"/>
          </w:rPr>
          <w:t>http://www.ilo.org/beirut/media-centre/fs/WCMS_214722/lang--en/index.htm</w:t>
        </w:r>
      </w:hyperlink>
    </w:p>
    <w:p w14:paraId="6477F717" w14:textId="77777777" w:rsidR="00E47D8F" w:rsidRDefault="00E47D8F" w:rsidP="00E47D8F">
      <w:pPr>
        <w:rPr>
          <w:rFonts w:cs="Arial"/>
          <w:color w:val="000000"/>
          <w:lang w:val="en-US"/>
        </w:rPr>
      </w:pPr>
      <w:r w:rsidRPr="00CB174D">
        <w:rPr>
          <w:rFonts w:cs="Arial"/>
          <w:color w:val="000000"/>
          <w:lang w:val="en-US"/>
        </w:rPr>
        <w:t xml:space="preserve">OECD. 2003. </w:t>
      </w:r>
      <w:r w:rsidRPr="00CB174D">
        <w:rPr>
          <w:rFonts w:cs="Arial"/>
          <w:i/>
          <w:iCs/>
          <w:color w:val="000000"/>
          <w:lang w:val="en-US"/>
        </w:rPr>
        <w:t>Glossary of Statistical Terms: Educational Institutions</w:t>
      </w:r>
      <w:r w:rsidRPr="00CB174D">
        <w:rPr>
          <w:rFonts w:cs="Arial"/>
          <w:color w:val="000000"/>
          <w:lang w:val="en-US"/>
        </w:rPr>
        <w:t xml:space="preserve">. [ONLINE] Available at: </w:t>
      </w:r>
      <w:hyperlink r:id="rId9" w:history="1">
        <w:r w:rsidRPr="00CB174D">
          <w:rPr>
            <w:rFonts w:cs="Arial"/>
            <w:color w:val="000000"/>
            <w:lang w:val="en-US"/>
          </w:rPr>
          <w:t>https://stats.oecd.org/glossary/detail.asp?ID=743</w:t>
        </w:r>
      </w:hyperlink>
      <w:r w:rsidRPr="00CB174D">
        <w:rPr>
          <w:rFonts w:cs="Arial"/>
          <w:color w:val="000000"/>
          <w:lang w:val="en-US"/>
        </w:rPr>
        <w:t>. [Accessed 25 July 2016].</w:t>
      </w:r>
    </w:p>
    <w:p w14:paraId="694F222B" w14:textId="77777777" w:rsidR="00E47D8F" w:rsidRDefault="00E47D8F" w:rsidP="00E47D8F">
      <w:pPr>
        <w:rPr>
          <w:lang w:val="en-US"/>
        </w:rPr>
      </w:pPr>
      <w:r>
        <w:rPr>
          <w:lang w:val="en-US"/>
        </w:rPr>
        <w:t xml:space="preserve">UNESCO (1994) The Salamanca statement and framework for action on special needs education adopted by the world conference on special needs education. Salamanca, Spain 7-10 June 1994 </w:t>
      </w:r>
      <w:hyperlink r:id="rId10" w:history="1">
        <w:r w:rsidRPr="002A0509">
          <w:rPr>
            <w:rStyle w:val="Hyperlink"/>
            <w:lang w:val="en-US"/>
          </w:rPr>
          <w:t>http://www.unesco.org/education/pdf/SALAMA_E.PDF</w:t>
        </w:r>
      </w:hyperlink>
      <w:r>
        <w:rPr>
          <w:lang w:val="en-US"/>
        </w:rPr>
        <w:t xml:space="preserve"> </w:t>
      </w:r>
    </w:p>
    <w:p w14:paraId="1BDEAC48" w14:textId="77777777" w:rsidR="00E47D8F" w:rsidRDefault="00E47D8F" w:rsidP="00E47D8F">
      <w:pPr>
        <w:rPr>
          <w:lang w:val="en-US"/>
        </w:rPr>
      </w:pPr>
      <w:r w:rsidRPr="00661414">
        <w:rPr>
          <w:lang w:val="en-US"/>
        </w:rPr>
        <w:t>UNESCO</w:t>
      </w:r>
      <w:r>
        <w:rPr>
          <w:lang w:val="en-US"/>
        </w:rPr>
        <w:t xml:space="preserve"> and UNESCO</w:t>
      </w:r>
      <w:r w:rsidRPr="00661414">
        <w:rPr>
          <w:lang w:val="en-US"/>
        </w:rPr>
        <w:t xml:space="preserve"> Institute for Statistics (UIS) (20</w:t>
      </w:r>
      <w:r>
        <w:rPr>
          <w:lang w:val="en-US"/>
        </w:rPr>
        <w:t>11</w:t>
      </w:r>
      <w:r w:rsidRPr="00661414">
        <w:rPr>
          <w:lang w:val="en-US"/>
        </w:rPr>
        <w:t>)</w:t>
      </w:r>
      <w:r>
        <w:rPr>
          <w:lang w:val="en-US"/>
        </w:rPr>
        <w:t xml:space="preserve"> International Standard Classification of Education 2011.  Available at </w:t>
      </w:r>
      <w:hyperlink r:id="rId11" w:history="1">
        <w:r w:rsidRPr="00482C8B">
          <w:rPr>
            <w:rStyle w:val="Hyperlink"/>
            <w:lang w:val="en-US"/>
          </w:rPr>
          <w:t>http://www.uis.unesco.org/Education/Documents/isced-2011-en.pdf</w:t>
        </w:r>
      </w:hyperlink>
      <w:r>
        <w:rPr>
          <w:lang w:val="en-US"/>
        </w:rPr>
        <w:t xml:space="preserve"> </w:t>
      </w:r>
      <w:r>
        <w:rPr>
          <w:rFonts w:cs="Arial"/>
          <w:color w:val="000000"/>
          <w:lang w:val="en-US"/>
        </w:rPr>
        <w:t>(Accessed 31 August, 2016)</w:t>
      </w:r>
    </w:p>
    <w:p w14:paraId="488405C5" w14:textId="77777777" w:rsidR="00E47D8F" w:rsidRDefault="00E47D8F" w:rsidP="00E47D8F">
      <w:pPr>
        <w:rPr>
          <w:lang w:val="en-US"/>
        </w:rPr>
      </w:pPr>
      <w:r w:rsidRPr="00661414">
        <w:rPr>
          <w:lang w:val="en-US"/>
        </w:rPr>
        <w:t xml:space="preserve">UNESCO Institute for Statistics (UIS) (2009) Education Indicators Technical Guidelines. Montreal; UIS downloaded from </w:t>
      </w:r>
      <w:hyperlink r:id="rId12" w:history="1">
        <w:r w:rsidRPr="00573A5E">
          <w:rPr>
            <w:rStyle w:val="Hyperlink"/>
            <w:lang w:val="en-US"/>
          </w:rPr>
          <w:t>http://www.uis.unesco.org/Library/Documents/eiguide09-en.pdf</w:t>
        </w:r>
      </w:hyperlink>
      <w:r>
        <w:rPr>
          <w:lang w:val="en-US"/>
        </w:rPr>
        <w:t xml:space="preserve"> </w:t>
      </w:r>
    </w:p>
    <w:p w14:paraId="09AF5ED4" w14:textId="66029781" w:rsidR="004A5F62" w:rsidRPr="00F52F58" w:rsidRDefault="00E47D8F" w:rsidP="00074C04">
      <w:pPr>
        <w:rPr>
          <w:lang w:val="en-US"/>
        </w:rPr>
      </w:pPr>
      <w:r w:rsidRPr="00C6275A">
        <w:rPr>
          <w:lang w:val="en-US"/>
        </w:rPr>
        <w:t xml:space="preserve">UNESCO Institute of Statistics, 2013, </w:t>
      </w:r>
      <w:r w:rsidRPr="00C6275A">
        <w:rPr>
          <w:i/>
          <w:iCs/>
          <w:lang w:val="en-US"/>
        </w:rPr>
        <w:t>UIS Glossary</w:t>
      </w:r>
      <w:r w:rsidRPr="00C6275A">
        <w:rPr>
          <w:lang w:val="en-US"/>
        </w:rPr>
        <w:t xml:space="preserve">. </w:t>
      </w:r>
      <w:r w:rsidRPr="00C6275A">
        <w:rPr>
          <w:rFonts w:cs="Helvetica"/>
          <w:lang w:val="en"/>
        </w:rPr>
        <w:t xml:space="preserve">[ONLINE] Available at: </w:t>
      </w:r>
      <w:hyperlink r:id="rId13" w:history="1">
        <w:r w:rsidRPr="00C6275A">
          <w:rPr>
            <w:rStyle w:val="Hyperlink"/>
            <w:rFonts w:cs="Helvetica"/>
            <w:i/>
            <w:iCs/>
            <w:lang w:val="en"/>
          </w:rPr>
          <w:t>http://glossary.uis.unesco.org/glossary/map/terms/176</w:t>
        </w:r>
      </w:hyperlink>
      <w:r w:rsidRPr="00C6275A">
        <w:rPr>
          <w:lang w:val="en-US"/>
        </w:rPr>
        <w:t>. (Accessed 29 July, 2016)</w:t>
      </w:r>
    </w:p>
    <w:sectPr w:rsidR="004A5F62" w:rsidRPr="00F52F58" w:rsidSect="004A5F62">
      <w:footerReference w:type="default" r:id="rId14"/>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DBAC63" w14:textId="77777777" w:rsidR="00EA0B41" w:rsidRDefault="00EA0B41" w:rsidP="009820E3">
      <w:pPr>
        <w:spacing w:after="0" w:line="240" w:lineRule="auto"/>
      </w:pPr>
      <w:r>
        <w:separator/>
      </w:r>
    </w:p>
  </w:endnote>
  <w:endnote w:type="continuationSeparator" w:id="0">
    <w:p w14:paraId="48CA451B" w14:textId="77777777" w:rsidR="00EA0B41" w:rsidRDefault="00EA0B41" w:rsidP="009820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anmar Text">
    <w:panose1 w:val="020B0502040204020203"/>
    <w:charset w:val="00"/>
    <w:family w:val="swiss"/>
    <w:pitch w:val="variable"/>
    <w:sig w:usb0="80000003" w:usb1="00000000" w:usb2="00000400" w:usb3="00000000" w:csb0="0000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504020202020204"/>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New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0070721"/>
      <w:docPartObj>
        <w:docPartGallery w:val="Page Numbers (Bottom of Page)"/>
        <w:docPartUnique/>
      </w:docPartObj>
    </w:sdtPr>
    <w:sdtEndPr>
      <w:rPr>
        <w:noProof/>
      </w:rPr>
    </w:sdtEndPr>
    <w:sdtContent>
      <w:p w14:paraId="689DCBC3" w14:textId="285FC853" w:rsidR="00EA0B41" w:rsidRDefault="00EA0B41">
        <w:pPr>
          <w:pStyle w:val="Footer"/>
          <w:jc w:val="center"/>
        </w:pPr>
        <w:r>
          <w:fldChar w:fldCharType="begin"/>
        </w:r>
        <w:r>
          <w:instrText xml:space="preserve"> PAGE   \* MERGEFORMAT </w:instrText>
        </w:r>
        <w:r>
          <w:fldChar w:fldCharType="separate"/>
        </w:r>
        <w:r w:rsidR="00B04F80">
          <w:rPr>
            <w:noProof/>
          </w:rPr>
          <w:t>13</w:t>
        </w:r>
        <w:r>
          <w:rPr>
            <w:noProof/>
          </w:rPr>
          <w:fldChar w:fldCharType="end"/>
        </w:r>
      </w:p>
    </w:sdtContent>
  </w:sdt>
  <w:p w14:paraId="089EED8E" w14:textId="77777777" w:rsidR="00EA0B41" w:rsidRDefault="00EA0B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2B1D42" w14:textId="77777777" w:rsidR="00EA0B41" w:rsidRDefault="00EA0B41" w:rsidP="009820E3">
      <w:pPr>
        <w:spacing w:after="0" w:line="240" w:lineRule="auto"/>
      </w:pPr>
      <w:r>
        <w:separator/>
      </w:r>
    </w:p>
  </w:footnote>
  <w:footnote w:type="continuationSeparator" w:id="0">
    <w:p w14:paraId="73E41670" w14:textId="77777777" w:rsidR="00EA0B41" w:rsidRDefault="00EA0B41" w:rsidP="009820E3">
      <w:pPr>
        <w:spacing w:after="0" w:line="240" w:lineRule="auto"/>
      </w:pPr>
      <w:r>
        <w:continuationSeparator/>
      </w:r>
    </w:p>
  </w:footnote>
  <w:footnote w:id="1">
    <w:p w14:paraId="5A65CF6D" w14:textId="77777777" w:rsidR="00EA0B41" w:rsidRPr="00B87C08" w:rsidRDefault="00EA0B41">
      <w:pPr>
        <w:pStyle w:val="FootnoteText"/>
        <w:rPr>
          <w:lang w:val="en-US"/>
        </w:rPr>
      </w:pPr>
      <w:r>
        <w:rPr>
          <w:rStyle w:val="FootnoteReference"/>
        </w:rPr>
        <w:footnoteRef/>
      </w:r>
      <w:r w:rsidRPr="00B87C08">
        <w:rPr>
          <w:lang w:val="en-US"/>
        </w:rPr>
        <w:t xml:space="preserve"> Th</w:t>
      </w:r>
      <w:r>
        <w:rPr>
          <w:lang w:val="en-US"/>
        </w:rPr>
        <w:t xml:space="preserve">is is a draft document. It </w:t>
      </w:r>
      <w:r w:rsidRPr="00B87C08">
        <w:rPr>
          <w:lang w:val="en-US"/>
        </w:rPr>
        <w:t xml:space="preserve">will be updated </w:t>
      </w:r>
      <w:r>
        <w:rPr>
          <w:lang w:val="en-US"/>
        </w:rPr>
        <w:t xml:space="preserve">based on feedback from partners. The </w:t>
      </w:r>
      <w:r w:rsidRPr="00B87C08">
        <w:rPr>
          <w:lang w:val="en-US"/>
        </w:rPr>
        <w:t>remaining number of indicators</w:t>
      </w:r>
      <w:r>
        <w:rPr>
          <w:lang w:val="en-US"/>
        </w:rPr>
        <w:t xml:space="preserve"> listed</w:t>
      </w:r>
      <w:r w:rsidRPr="00B87C08">
        <w:rPr>
          <w:lang w:val="en-US"/>
        </w:rPr>
        <w:t xml:space="preserve"> </w:t>
      </w:r>
      <w:r>
        <w:rPr>
          <w:lang w:val="en-US"/>
        </w:rPr>
        <w:t>in the menu of indicators will also be added by end September, 2016.</w:t>
      </w:r>
    </w:p>
  </w:footnote>
  <w:footnote w:id="2">
    <w:p w14:paraId="0ED37506" w14:textId="77777777" w:rsidR="00EA0B41" w:rsidRPr="00CB174D" w:rsidRDefault="00EA0B41" w:rsidP="007A10E6">
      <w:pPr>
        <w:pStyle w:val="FootnoteText"/>
        <w:rPr>
          <w:rFonts w:cs="Arial"/>
          <w:color w:val="000000"/>
          <w:lang w:val="en-US"/>
        </w:rPr>
      </w:pPr>
      <w:r>
        <w:rPr>
          <w:rStyle w:val="FootnoteReference"/>
        </w:rPr>
        <w:footnoteRef/>
      </w:r>
      <w:r w:rsidRPr="009820E3">
        <w:rPr>
          <w:lang w:val="en-US"/>
        </w:rPr>
        <w:t xml:space="preserve"> </w:t>
      </w:r>
      <w:r w:rsidRPr="00CB174D">
        <w:rPr>
          <w:rFonts w:cs="Arial"/>
          <w:color w:val="000000"/>
          <w:lang w:val="en-US"/>
        </w:rPr>
        <w:t xml:space="preserve">OECD. 2003. </w:t>
      </w:r>
      <w:r w:rsidRPr="00CB174D">
        <w:rPr>
          <w:rFonts w:cs="Arial"/>
          <w:i/>
          <w:iCs/>
          <w:color w:val="000000"/>
          <w:lang w:val="en-US"/>
        </w:rPr>
        <w:t>Glossary of Statistical Terms: Educational Institutions</w:t>
      </w:r>
      <w:r w:rsidRPr="00CB174D">
        <w:rPr>
          <w:rFonts w:cs="Arial"/>
          <w:color w:val="000000"/>
          <w:lang w:val="en-US"/>
        </w:rPr>
        <w:t xml:space="preserve">. [ONLINE] Available at: </w:t>
      </w:r>
      <w:hyperlink r:id="rId1" w:history="1">
        <w:r w:rsidRPr="00CB174D">
          <w:rPr>
            <w:rFonts w:cs="Arial"/>
            <w:color w:val="000000"/>
            <w:lang w:val="en-US"/>
          </w:rPr>
          <w:t>https://stats.oecd.org/glossary/detail.asp?ID=743</w:t>
        </w:r>
      </w:hyperlink>
      <w:r w:rsidRPr="00CB174D">
        <w:rPr>
          <w:rFonts w:cs="Arial"/>
          <w:color w:val="000000"/>
          <w:lang w:val="en-US"/>
        </w:rPr>
        <w:t>. [Accessed 25 July 2016].</w:t>
      </w:r>
    </w:p>
  </w:footnote>
  <w:footnote w:id="3">
    <w:p w14:paraId="613D1449" w14:textId="77777777" w:rsidR="00EA0B41" w:rsidRPr="00B97B09" w:rsidRDefault="00EA0B41">
      <w:pPr>
        <w:pStyle w:val="FootnoteText"/>
        <w:rPr>
          <w:lang w:val="en-US"/>
        </w:rPr>
      </w:pPr>
      <w:r>
        <w:rPr>
          <w:rStyle w:val="FootnoteReference"/>
        </w:rPr>
        <w:footnoteRef/>
      </w:r>
      <w:r w:rsidRPr="00B97B09">
        <w:rPr>
          <w:lang w:val="en-US"/>
        </w:rPr>
        <w:t xml:space="preserve"> </w:t>
      </w:r>
      <w:r>
        <w:rPr>
          <w:lang w:val="en-US"/>
        </w:rPr>
        <w:t xml:space="preserve">This does not correspond to the official definition of a refugee. A proxy definition has been developed to ease the data collection and verification burden.  </w:t>
      </w:r>
    </w:p>
  </w:footnote>
  <w:footnote w:id="4">
    <w:p w14:paraId="7F401BB1" w14:textId="77777777" w:rsidR="00EA0B41" w:rsidRPr="00C6275A" w:rsidRDefault="00EA0B41" w:rsidP="00B80B52">
      <w:pPr>
        <w:pStyle w:val="FootnoteText"/>
        <w:rPr>
          <w:lang w:val="en-US"/>
        </w:rPr>
      </w:pPr>
      <w:r w:rsidRPr="00C6275A">
        <w:rPr>
          <w:rStyle w:val="FootnoteReference"/>
        </w:rPr>
        <w:footnoteRef/>
      </w:r>
      <w:r w:rsidRPr="00C6275A">
        <w:rPr>
          <w:lang w:val="en-US"/>
        </w:rPr>
        <w:t xml:space="preserve"> UNESCO Institute of Statistics, 2013, </w:t>
      </w:r>
      <w:r w:rsidRPr="00C6275A">
        <w:rPr>
          <w:i/>
          <w:iCs/>
          <w:lang w:val="en-US"/>
        </w:rPr>
        <w:t>UIS Glossary</w:t>
      </w:r>
      <w:r w:rsidRPr="00C6275A">
        <w:rPr>
          <w:lang w:val="en-US"/>
        </w:rPr>
        <w:t xml:space="preserve">. </w:t>
      </w:r>
      <w:r w:rsidRPr="00C6275A">
        <w:rPr>
          <w:rFonts w:cs="Helvetica"/>
          <w:lang w:val="en"/>
        </w:rPr>
        <w:t xml:space="preserve">[ONLINE] Available at: </w:t>
      </w:r>
      <w:hyperlink r:id="rId2" w:history="1">
        <w:r w:rsidRPr="00C6275A">
          <w:rPr>
            <w:rStyle w:val="Hyperlink"/>
            <w:rFonts w:cs="Helvetica"/>
            <w:i/>
            <w:iCs/>
            <w:lang w:val="en"/>
          </w:rPr>
          <w:t>http://glossary.uis.unesco.org/glossary/map/terms/176</w:t>
        </w:r>
      </w:hyperlink>
      <w:r w:rsidRPr="00C6275A">
        <w:rPr>
          <w:lang w:val="en-US"/>
        </w:rPr>
        <w:t>. (Accessed 29 July, 2016)</w:t>
      </w:r>
    </w:p>
  </w:footnote>
  <w:footnote w:id="5">
    <w:p w14:paraId="59735A13" w14:textId="77777777" w:rsidR="00EA0B41" w:rsidRPr="00CB174D" w:rsidRDefault="00EA0B41">
      <w:pPr>
        <w:pStyle w:val="FootnoteText"/>
        <w:rPr>
          <w:lang w:val="en-US"/>
        </w:rPr>
      </w:pPr>
      <w:r>
        <w:rPr>
          <w:rStyle w:val="FootnoteReference"/>
        </w:rPr>
        <w:footnoteRef/>
      </w:r>
      <w:r w:rsidRPr="00CB174D">
        <w:rPr>
          <w:lang w:val="en-US"/>
        </w:rPr>
        <w:t xml:space="preserve"> MFA, 2010. Grant Management Manual: Management of Grants by the Ministry of Foreign Affairs and Norad. </w:t>
      </w:r>
      <w:r w:rsidRPr="00CB174D">
        <w:rPr>
          <w:rFonts w:cs="Arial"/>
          <w:color w:val="000000"/>
          <w:lang w:val="en-US"/>
        </w:rPr>
        <w:t>[ONLINE]</w:t>
      </w:r>
      <w:r>
        <w:rPr>
          <w:rFonts w:cs="Arial"/>
          <w:color w:val="000000"/>
          <w:lang w:val="en-US"/>
        </w:rPr>
        <w:t xml:space="preserve"> </w:t>
      </w:r>
      <w:hyperlink r:id="rId3" w:history="1">
        <w:r w:rsidRPr="000A1448">
          <w:rPr>
            <w:rStyle w:val="Hyperlink"/>
            <w:rFonts w:cs="Arial"/>
            <w:lang w:val="en-US"/>
          </w:rPr>
          <w:t>http://noradintra.mfadir.no/Documents/Tilskuddsforvaltningsenheten/Håndbøker/Håndbok_UD_Tilskuddsforv_mai_2013_TOC.pdf</w:t>
        </w:r>
      </w:hyperlink>
      <w:r>
        <w:rPr>
          <w:rFonts w:cs="Arial"/>
          <w:color w:val="000000"/>
          <w:lang w:val="en-US"/>
        </w:rPr>
        <w:t xml:space="preserve"> (Accessed 02. August, 2016)</w:t>
      </w:r>
    </w:p>
  </w:footnote>
  <w:footnote w:id="6">
    <w:p w14:paraId="39535FA6" w14:textId="77777777" w:rsidR="00EA0B41" w:rsidRDefault="00EA0B41">
      <w:pPr>
        <w:pStyle w:val="FootnoteText"/>
      </w:pPr>
      <w:r>
        <w:rPr>
          <w:rStyle w:val="FootnoteReference"/>
        </w:rPr>
        <w:footnoteRef/>
      </w:r>
      <w:r>
        <w:t xml:space="preserve"> Ibid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87862"/>
    <w:multiLevelType w:val="multilevel"/>
    <w:tmpl w:val="5830BC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D8645A"/>
    <w:multiLevelType w:val="hybridMultilevel"/>
    <w:tmpl w:val="5B3C997C"/>
    <w:lvl w:ilvl="0" w:tplc="D136B362">
      <w:start w:val="3"/>
      <w:numFmt w:val="bullet"/>
      <w:lvlText w:val="-"/>
      <w:lvlJc w:val="left"/>
      <w:pPr>
        <w:ind w:left="720" w:hanging="360"/>
      </w:pPr>
      <w:rPr>
        <w:rFonts w:ascii="Calibri" w:eastAsiaTheme="minorEastAsia" w:hAnsi="Calibri" w:cs="Arial Unicode M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3D740CA"/>
    <w:multiLevelType w:val="hybridMultilevel"/>
    <w:tmpl w:val="4EE6499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6278519E"/>
    <w:multiLevelType w:val="hybridMultilevel"/>
    <w:tmpl w:val="9EB4D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28"/>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4DE"/>
    <w:rsid w:val="00023FA2"/>
    <w:rsid w:val="00047184"/>
    <w:rsid w:val="00074C04"/>
    <w:rsid w:val="00094F3A"/>
    <w:rsid w:val="000D00C4"/>
    <w:rsid w:val="001033A0"/>
    <w:rsid w:val="00114BE7"/>
    <w:rsid w:val="00116604"/>
    <w:rsid w:val="001317FB"/>
    <w:rsid w:val="00133A9F"/>
    <w:rsid w:val="00135B6C"/>
    <w:rsid w:val="001504DE"/>
    <w:rsid w:val="00191C94"/>
    <w:rsid w:val="00192E75"/>
    <w:rsid w:val="001A51DF"/>
    <w:rsid w:val="001F5AF1"/>
    <w:rsid w:val="00202B83"/>
    <w:rsid w:val="00210B15"/>
    <w:rsid w:val="00215EFF"/>
    <w:rsid w:val="00231C3F"/>
    <w:rsid w:val="0024352A"/>
    <w:rsid w:val="00244CB4"/>
    <w:rsid w:val="0028246F"/>
    <w:rsid w:val="00296EF7"/>
    <w:rsid w:val="002B2B57"/>
    <w:rsid w:val="002B6843"/>
    <w:rsid w:val="002C4713"/>
    <w:rsid w:val="002E5785"/>
    <w:rsid w:val="002F1F9A"/>
    <w:rsid w:val="00313B1F"/>
    <w:rsid w:val="003453F3"/>
    <w:rsid w:val="00393E46"/>
    <w:rsid w:val="00394C53"/>
    <w:rsid w:val="0043511E"/>
    <w:rsid w:val="004453CB"/>
    <w:rsid w:val="00462AEE"/>
    <w:rsid w:val="004A5F62"/>
    <w:rsid w:val="004A5FF6"/>
    <w:rsid w:val="004D646B"/>
    <w:rsid w:val="00506046"/>
    <w:rsid w:val="00543D86"/>
    <w:rsid w:val="00555F4E"/>
    <w:rsid w:val="005676E1"/>
    <w:rsid w:val="00576D29"/>
    <w:rsid w:val="00583935"/>
    <w:rsid w:val="005A1CCA"/>
    <w:rsid w:val="005C4273"/>
    <w:rsid w:val="005C60A0"/>
    <w:rsid w:val="00622138"/>
    <w:rsid w:val="00625F5F"/>
    <w:rsid w:val="006C0DA5"/>
    <w:rsid w:val="006C14FE"/>
    <w:rsid w:val="007148A5"/>
    <w:rsid w:val="007255D3"/>
    <w:rsid w:val="00752B57"/>
    <w:rsid w:val="00754601"/>
    <w:rsid w:val="00773126"/>
    <w:rsid w:val="00787A72"/>
    <w:rsid w:val="007A10E6"/>
    <w:rsid w:val="007F1778"/>
    <w:rsid w:val="007F5CFF"/>
    <w:rsid w:val="0080742F"/>
    <w:rsid w:val="00817F63"/>
    <w:rsid w:val="00821FC2"/>
    <w:rsid w:val="00866A3F"/>
    <w:rsid w:val="008931D6"/>
    <w:rsid w:val="008A44C3"/>
    <w:rsid w:val="008B0A1D"/>
    <w:rsid w:val="008B507B"/>
    <w:rsid w:val="008B70D2"/>
    <w:rsid w:val="008C7965"/>
    <w:rsid w:val="008E01A6"/>
    <w:rsid w:val="008F1D07"/>
    <w:rsid w:val="009052BC"/>
    <w:rsid w:val="0092191C"/>
    <w:rsid w:val="00937891"/>
    <w:rsid w:val="0094106F"/>
    <w:rsid w:val="00975BE1"/>
    <w:rsid w:val="009820E3"/>
    <w:rsid w:val="009B7B5C"/>
    <w:rsid w:val="009D0730"/>
    <w:rsid w:val="00A170BA"/>
    <w:rsid w:val="00A375AA"/>
    <w:rsid w:val="00A53C7F"/>
    <w:rsid w:val="00A654AD"/>
    <w:rsid w:val="00A77E49"/>
    <w:rsid w:val="00A81F36"/>
    <w:rsid w:val="00AB34E6"/>
    <w:rsid w:val="00AB3CEB"/>
    <w:rsid w:val="00AB53A1"/>
    <w:rsid w:val="00B04F80"/>
    <w:rsid w:val="00B33ECB"/>
    <w:rsid w:val="00B62DC0"/>
    <w:rsid w:val="00B80B52"/>
    <w:rsid w:val="00B87C08"/>
    <w:rsid w:val="00B96C2B"/>
    <w:rsid w:val="00B97499"/>
    <w:rsid w:val="00B97B09"/>
    <w:rsid w:val="00BA3CA0"/>
    <w:rsid w:val="00BA414C"/>
    <w:rsid w:val="00BF0D80"/>
    <w:rsid w:val="00C13EDD"/>
    <w:rsid w:val="00C368D5"/>
    <w:rsid w:val="00C44947"/>
    <w:rsid w:val="00CB008F"/>
    <w:rsid w:val="00CB174D"/>
    <w:rsid w:val="00CC31BC"/>
    <w:rsid w:val="00D33387"/>
    <w:rsid w:val="00D62EB7"/>
    <w:rsid w:val="00D67CC6"/>
    <w:rsid w:val="00D74246"/>
    <w:rsid w:val="00D87656"/>
    <w:rsid w:val="00DA40BB"/>
    <w:rsid w:val="00E035F7"/>
    <w:rsid w:val="00E12802"/>
    <w:rsid w:val="00E210F0"/>
    <w:rsid w:val="00E43604"/>
    <w:rsid w:val="00E47D8F"/>
    <w:rsid w:val="00EA0B41"/>
    <w:rsid w:val="00F52F58"/>
    <w:rsid w:val="00F64701"/>
    <w:rsid w:val="00F674EA"/>
    <w:rsid w:val="00F83888"/>
    <w:rsid w:val="00F93205"/>
    <w:rsid w:val="00FA6808"/>
    <w:rsid w:val="00FE5276"/>
    <w:rsid w:val="00FF4181"/>
  </w:rsids>
  <m:mathPr>
    <m:mathFont m:val="Cambria Math"/>
    <m:brkBin m:val="before"/>
    <m:brkBinSub m:val="--"/>
    <m:smallFrac m:val="0"/>
    <m:dispDef/>
    <m:lMargin m:val="0"/>
    <m:rMargin m:val="0"/>
    <m:defJc m:val="centerGroup"/>
    <m:wrapIndent m:val="1440"/>
    <m:intLim m:val="subSup"/>
    <m:naryLim m:val="undOvr"/>
  </m:mathPr>
  <w:themeFontLang w:val="nb-NO" w:eastAsia="zh-CN" w:bidi="my-M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C035B"/>
  <w15:chartTrackingRefBased/>
  <w15:docId w15:val="{C2CB4248-3F47-4E83-9AD9-7E6B63A0A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b-NO" w:eastAsia="zh-CN" w:bidi="my-MM"/>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5CFF"/>
    <w:rPr>
      <w:rFonts w:cs="Arial Unicode MS"/>
    </w:rPr>
  </w:style>
  <w:style w:type="paragraph" w:styleId="Heading1">
    <w:name w:val="heading 1"/>
    <w:basedOn w:val="Normal"/>
    <w:next w:val="Normal"/>
    <w:link w:val="Heading1Char"/>
    <w:uiPriority w:val="9"/>
    <w:qFormat/>
    <w:rsid w:val="008F1D0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35B6C"/>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4A5F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820E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0E3"/>
    <w:rPr>
      <w:rFonts w:cs="Arial Unicode MS"/>
      <w:sz w:val="20"/>
      <w:szCs w:val="20"/>
    </w:rPr>
  </w:style>
  <w:style w:type="character" w:styleId="FootnoteReference">
    <w:name w:val="footnote reference"/>
    <w:basedOn w:val="DefaultParagraphFont"/>
    <w:uiPriority w:val="99"/>
    <w:semiHidden/>
    <w:unhideWhenUsed/>
    <w:rsid w:val="009820E3"/>
    <w:rPr>
      <w:vertAlign w:val="superscript"/>
    </w:rPr>
  </w:style>
  <w:style w:type="character" w:styleId="Hyperlink">
    <w:name w:val="Hyperlink"/>
    <w:basedOn w:val="DefaultParagraphFont"/>
    <w:uiPriority w:val="99"/>
    <w:unhideWhenUsed/>
    <w:rsid w:val="00D62EB7"/>
    <w:rPr>
      <w:strike w:val="0"/>
      <w:dstrike w:val="0"/>
      <w:color w:val="2199E8"/>
      <w:u w:val="none"/>
      <w:effect w:val="none"/>
      <w:shd w:val="clear" w:color="auto" w:fill="auto"/>
    </w:rPr>
  </w:style>
  <w:style w:type="character" w:styleId="Emphasis">
    <w:name w:val="Emphasis"/>
    <w:basedOn w:val="DefaultParagraphFont"/>
    <w:uiPriority w:val="20"/>
    <w:qFormat/>
    <w:rsid w:val="00D62EB7"/>
    <w:rPr>
      <w:i/>
      <w:iCs/>
    </w:rPr>
  </w:style>
  <w:style w:type="character" w:customStyle="1" w:styleId="st1">
    <w:name w:val="st1"/>
    <w:basedOn w:val="DefaultParagraphFont"/>
    <w:rsid w:val="007A10E6"/>
  </w:style>
  <w:style w:type="character" w:customStyle="1" w:styleId="oneclick-link">
    <w:name w:val="oneclick-link"/>
    <w:basedOn w:val="DefaultParagraphFont"/>
    <w:rsid w:val="001A51DF"/>
  </w:style>
  <w:style w:type="character" w:customStyle="1" w:styleId="dbox-example">
    <w:name w:val="dbox-example"/>
    <w:basedOn w:val="DefaultParagraphFont"/>
    <w:rsid w:val="001A51DF"/>
  </w:style>
  <w:style w:type="paragraph" w:styleId="Header">
    <w:name w:val="header"/>
    <w:basedOn w:val="Normal"/>
    <w:link w:val="HeaderChar"/>
    <w:uiPriority w:val="99"/>
    <w:unhideWhenUsed/>
    <w:rsid w:val="008F1D07"/>
    <w:pPr>
      <w:tabs>
        <w:tab w:val="center" w:pos="4536"/>
        <w:tab w:val="right" w:pos="9072"/>
      </w:tabs>
      <w:spacing w:after="0" w:line="240" w:lineRule="auto"/>
    </w:pPr>
  </w:style>
  <w:style w:type="character" w:customStyle="1" w:styleId="HeaderChar">
    <w:name w:val="Header Char"/>
    <w:basedOn w:val="DefaultParagraphFont"/>
    <w:link w:val="Header"/>
    <w:uiPriority w:val="99"/>
    <w:rsid w:val="008F1D07"/>
    <w:rPr>
      <w:rFonts w:cs="Arial Unicode MS"/>
    </w:rPr>
  </w:style>
  <w:style w:type="paragraph" w:styleId="Footer">
    <w:name w:val="footer"/>
    <w:basedOn w:val="Normal"/>
    <w:link w:val="FooterChar"/>
    <w:uiPriority w:val="99"/>
    <w:unhideWhenUsed/>
    <w:rsid w:val="008F1D07"/>
    <w:pPr>
      <w:tabs>
        <w:tab w:val="center" w:pos="4536"/>
        <w:tab w:val="right" w:pos="9072"/>
      </w:tabs>
      <w:spacing w:after="0" w:line="240" w:lineRule="auto"/>
    </w:pPr>
  </w:style>
  <w:style w:type="character" w:customStyle="1" w:styleId="FooterChar">
    <w:name w:val="Footer Char"/>
    <w:basedOn w:val="DefaultParagraphFont"/>
    <w:link w:val="Footer"/>
    <w:uiPriority w:val="99"/>
    <w:rsid w:val="008F1D07"/>
    <w:rPr>
      <w:rFonts w:cs="Arial Unicode MS"/>
    </w:rPr>
  </w:style>
  <w:style w:type="character" w:customStyle="1" w:styleId="Heading1Char">
    <w:name w:val="Heading 1 Char"/>
    <w:basedOn w:val="DefaultParagraphFont"/>
    <w:link w:val="Heading1"/>
    <w:uiPriority w:val="9"/>
    <w:rsid w:val="008F1D07"/>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8F1D07"/>
    <w:pPr>
      <w:ind w:left="720"/>
      <w:contextualSpacing/>
    </w:pPr>
  </w:style>
  <w:style w:type="paragraph" w:styleId="BalloonText">
    <w:name w:val="Balloon Text"/>
    <w:basedOn w:val="Normal"/>
    <w:link w:val="BalloonTextChar"/>
    <w:uiPriority w:val="99"/>
    <w:semiHidden/>
    <w:unhideWhenUsed/>
    <w:rsid w:val="00BA41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414C"/>
    <w:rPr>
      <w:rFonts w:ascii="Segoe UI" w:hAnsi="Segoe UI" w:cs="Segoe UI"/>
      <w:sz w:val="18"/>
      <w:szCs w:val="18"/>
    </w:rPr>
  </w:style>
  <w:style w:type="character" w:styleId="CommentReference">
    <w:name w:val="annotation reference"/>
    <w:basedOn w:val="DefaultParagraphFont"/>
    <w:uiPriority w:val="99"/>
    <w:semiHidden/>
    <w:unhideWhenUsed/>
    <w:rsid w:val="00E47D8F"/>
    <w:rPr>
      <w:sz w:val="16"/>
      <w:szCs w:val="16"/>
    </w:rPr>
  </w:style>
  <w:style w:type="paragraph" w:styleId="CommentText">
    <w:name w:val="annotation text"/>
    <w:basedOn w:val="Normal"/>
    <w:link w:val="CommentTextChar"/>
    <w:uiPriority w:val="99"/>
    <w:semiHidden/>
    <w:unhideWhenUsed/>
    <w:rsid w:val="00E47D8F"/>
    <w:pPr>
      <w:spacing w:line="240" w:lineRule="auto"/>
    </w:pPr>
    <w:rPr>
      <w:sz w:val="20"/>
      <w:szCs w:val="20"/>
    </w:rPr>
  </w:style>
  <w:style w:type="character" w:customStyle="1" w:styleId="CommentTextChar">
    <w:name w:val="Comment Text Char"/>
    <w:basedOn w:val="DefaultParagraphFont"/>
    <w:link w:val="CommentText"/>
    <w:uiPriority w:val="99"/>
    <w:semiHidden/>
    <w:rsid w:val="00E47D8F"/>
    <w:rPr>
      <w:rFonts w:cs="Arial Unicode M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913116">
      <w:bodyDiv w:val="1"/>
      <w:marLeft w:val="0"/>
      <w:marRight w:val="0"/>
      <w:marTop w:val="0"/>
      <w:marBottom w:val="0"/>
      <w:divBdr>
        <w:top w:val="none" w:sz="0" w:space="0" w:color="auto"/>
        <w:left w:val="none" w:sz="0" w:space="0" w:color="auto"/>
        <w:bottom w:val="none" w:sz="0" w:space="0" w:color="auto"/>
        <w:right w:val="none" w:sz="0" w:space="0" w:color="auto"/>
      </w:divBdr>
      <w:divsChild>
        <w:div w:id="213853185">
          <w:marLeft w:val="0"/>
          <w:marRight w:val="0"/>
          <w:marTop w:val="0"/>
          <w:marBottom w:val="0"/>
          <w:divBdr>
            <w:top w:val="none" w:sz="0" w:space="0" w:color="auto"/>
            <w:left w:val="none" w:sz="0" w:space="0" w:color="auto"/>
            <w:bottom w:val="none" w:sz="0" w:space="0" w:color="auto"/>
            <w:right w:val="none" w:sz="0" w:space="0" w:color="auto"/>
          </w:divBdr>
          <w:divsChild>
            <w:div w:id="336201812">
              <w:marLeft w:val="0"/>
              <w:marRight w:val="0"/>
              <w:marTop w:val="0"/>
              <w:marBottom w:val="0"/>
              <w:divBdr>
                <w:top w:val="none" w:sz="0" w:space="0" w:color="auto"/>
                <w:left w:val="none" w:sz="0" w:space="0" w:color="auto"/>
                <w:bottom w:val="none" w:sz="0" w:space="0" w:color="auto"/>
                <w:right w:val="none" w:sz="0" w:space="0" w:color="auto"/>
              </w:divBdr>
              <w:divsChild>
                <w:div w:id="296224492">
                  <w:marLeft w:val="0"/>
                  <w:marRight w:val="0"/>
                  <w:marTop w:val="0"/>
                  <w:marBottom w:val="0"/>
                  <w:divBdr>
                    <w:top w:val="none" w:sz="0" w:space="0" w:color="auto"/>
                    <w:left w:val="none" w:sz="0" w:space="0" w:color="auto"/>
                    <w:bottom w:val="none" w:sz="0" w:space="0" w:color="auto"/>
                    <w:right w:val="none" w:sz="0" w:space="0" w:color="auto"/>
                  </w:divBdr>
                  <w:divsChild>
                    <w:div w:id="177430779">
                      <w:marLeft w:val="0"/>
                      <w:marRight w:val="0"/>
                      <w:marTop w:val="0"/>
                      <w:marBottom w:val="0"/>
                      <w:divBdr>
                        <w:top w:val="none" w:sz="0" w:space="0" w:color="auto"/>
                        <w:left w:val="none" w:sz="0" w:space="0" w:color="auto"/>
                        <w:bottom w:val="none" w:sz="0" w:space="0" w:color="auto"/>
                        <w:right w:val="none" w:sz="0" w:space="0" w:color="auto"/>
                      </w:divBdr>
                      <w:divsChild>
                        <w:div w:id="746810242">
                          <w:marLeft w:val="0"/>
                          <w:marRight w:val="0"/>
                          <w:marTop w:val="0"/>
                          <w:marBottom w:val="0"/>
                          <w:divBdr>
                            <w:top w:val="none" w:sz="0" w:space="0" w:color="auto"/>
                            <w:left w:val="none" w:sz="0" w:space="0" w:color="auto"/>
                            <w:bottom w:val="none" w:sz="0" w:space="0" w:color="auto"/>
                            <w:right w:val="none" w:sz="0" w:space="0" w:color="auto"/>
                          </w:divBdr>
                          <w:divsChild>
                            <w:div w:id="782923318">
                              <w:marLeft w:val="0"/>
                              <w:marRight w:val="0"/>
                              <w:marTop w:val="0"/>
                              <w:marBottom w:val="0"/>
                              <w:divBdr>
                                <w:top w:val="none" w:sz="0" w:space="0" w:color="auto"/>
                                <w:left w:val="none" w:sz="0" w:space="0" w:color="auto"/>
                                <w:bottom w:val="none" w:sz="0" w:space="0" w:color="auto"/>
                                <w:right w:val="none" w:sz="0" w:space="0" w:color="auto"/>
                              </w:divBdr>
                              <w:divsChild>
                                <w:div w:id="1854958591">
                                  <w:marLeft w:val="0"/>
                                  <w:marRight w:val="0"/>
                                  <w:marTop w:val="0"/>
                                  <w:marBottom w:val="0"/>
                                  <w:divBdr>
                                    <w:top w:val="none" w:sz="0" w:space="0" w:color="auto"/>
                                    <w:left w:val="none" w:sz="0" w:space="0" w:color="auto"/>
                                    <w:bottom w:val="none" w:sz="0" w:space="0" w:color="auto"/>
                                    <w:right w:val="none" w:sz="0" w:space="0" w:color="auto"/>
                                  </w:divBdr>
                                  <w:divsChild>
                                    <w:div w:id="1638149229">
                                      <w:marLeft w:val="0"/>
                                      <w:marRight w:val="0"/>
                                      <w:marTop w:val="0"/>
                                      <w:marBottom w:val="0"/>
                                      <w:divBdr>
                                        <w:top w:val="none" w:sz="0" w:space="0" w:color="auto"/>
                                        <w:left w:val="none" w:sz="0" w:space="0" w:color="auto"/>
                                        <w:bottom w:val="none" w:sz="0" w:space="0" w:color="auto"/>
                                        <w:right w:val="none" w:sz="0" w:space="0" w:color="auto"/>
                                      </w:divBdr>
                                      <w:divsChild>
                                        <w:div w:id="185645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1790936">
      <w:bodyDiv w:val="1"/>
      <w:marLeft w:val="0"/>
      <w:marRight w:val="0"/>
      <w:marTop w:val="0"/>
      <w:marBottom w:val="0"/>
      <w:divBdr>
        <w:top w:val="none" w:sz="0" w:space="0" w:color="auto"/>
        <w:left w:val="none" w:sz="0" w:space="0" w:color="auto"/>
        <w:bottom w:val="none" w:sz="0" w:space="0" w:color="auto"/>
        <w:right w:val="none" w:sz="0" w:space="0" w:color="auto"/>
      </w:divBdr>
      <w:divsChild>
        <w:div w:id="1162509032">
          <w:marLeft w:val="0"/>
          <w:marRight w:val="0"/>
          <w:marTop w:val="0"/>
          <w:marBottom w:val="0"/>
          <w:divBdr>
            <w:top w:val="none" w:sz="0" w:space="0" w:color="auto"/>
            <w:left w:val="none" w:sz="0" w:space="0" w:color="auto"/>
            <w:bottom w:val="none" w:sz="0" w:space="0" w:color="auto"/>
            <w:right w:val="none" w:sz="0" w:space="0" w:color="auto"/>
          </w:divBdr>
          <w:divsChild>
            <w:div w:id="2093773240">
              <w:marLeft w:val="0"/>
              <w:marRight w:val="0"/>
              <w:marTop w:val="0"/>
              <w:marBottom w:val="0"/>
              <w:divBdr>
                <w:top w:val="none" w:sz="0" w:space="0" w:color="auto"/>
                <w:left w:val="none" w:sz="0" w:space="0" w:color="auto"/>
                <w:bottom w:val="none" w:sz="0" w:space="0" w:color="auto"/>
                <w:right w:val="none" w:sz="0" w:space="0" w:color="auto"/>
              </w:divBdr>
              <w:divsChild>
                <w:div w:id="913122533">
                  <w:marLeft w:val="0"/>
                  <w:marRight w:val="0"/>
                  <w:marTop w:val="0"/>
                  <w:marBottom w:val="0"/>
                  <w:divBdr>
                    <w:top w:val="none" w:sz="0" w:space="0" w:color="auto"/>
                    <w:left w:val="none" w:sz="0" w:space="0" w:color="auto"/>
                    <w:bottom w:val="none" w:sz="0" w:space="0" w:color="auto"/>
                    <w:right w:val="none" w:sz="0" w:space="0" w:color="auto"/>
                  </w:divBdr>
                  <w:divsChild>
                    <w:div w:id="698355811">
                      <w:marLeft w:val="0"/>
                      <w:marRight w:val="0"/>
                      <w:marTop w:val="45"/>
                      <w:marBottom w:val="0"/>
                      <w:divBdr>
                        <w:top w:val="none" w:sz="0" w:space="0" w:color="auto"/>
                        <w:left w:val="none" w:sz="0" w:space="0" w:color="auto"/>
                        <w:bottom w:val="none" w:sz="0" w:space="0" w:color="auto"/>
                        <w:right w:val="none" w:sz="0" w:space="0" w:color="auto"/>
                      </w:divBdr>
                      <w:divsChild>
                        <w:div w:id="57553701">
                          <w:marLeft w:val="0"/>
                          <w:marRight w:val="0"/>
                          <w:marTop w:val="0"/>
                          <w:marBottom w:val="0"/>
                          <w:divBdr>
                            <w:top w:val="none" w:sz="0" w:space="0" w:color="auto"/>
                            <w:left w:val="none" w:sz="0" w:space="0" w:color="auto"/>
                            <w:bottom w:val="none" w:sz="0" w:space="0" w:color="auto"/>
                            <w:right w:val="none" w:sz="0" w:space="0" w:color="auto"/>
                          </w:divBdr>
                          <w:divsChild>
                            <w:div w:id="806896144">
                              <w:marLeft w:val="2070"/>
                              <w:marRight w:val="3810"/>
                              <w:marTop w:val="0"/>
                              <w:marBottom w:val="0"/>
                              <w:divBdr>
                                <w:top w:val="none" w:sz="0" w:space="0" w:color="auto"/>
                                <w:left w:val="none" w:sz="0" w:space="0" w:color="auto"/>
                                <w:bottom w:val="none" w:sz="0" w:space="0" w:color="auto"/>
                                <w:right w:val="none" w:sz="0" w:space="0" w:color="auto"/>
                              </w:divBdr>
                              <w:divsChild>
                                <w:div w:id="1364552956">
                                  <w:marLeft w:val="0"/>
                                  <w:marRight w:val="0"/>
                                  <w:marTop w:val="0"/>
                                  <w:marBottom w:val="0"/>
                                  <w:divBdr>
                                    <w:top w:val="none" w:sz="0" w:space="0" w:color="auto"/>
                                    <w:left w:val="none" w:sz="0" w:space="0" w:color="auto"/>
                                    <w:bottom w:val="none" w:sz="0" w:space="0" w:color="auto"/>
                                    <w:right w:val="none" w:sz="0" w:space="0" w:color="auto"/>
                                  </w:divBdr>
                                  <w:divsChild>
                                    <w:div w:id="1591620854">
                                      <w:marLeft w:val="0"/>
                                      <w:marRight w:val="0"/>
                                      <w:marTop w:val="0"/>
                                      <w:marBottom w:val="0"/>
                                      <w:divBdr>
                                        <w:top w:val="none" w:sz="0" w:space="0" w:color="auto"/>
                                        <w:left w:val="none" w:sz="0" w:space="0" w:color="auto"/>
                                        <w:bottom w:val="none" w:sz="0" w:space="0" w:color="auto"/>
                                        <w:right w:val="none" w:sz="0" w:space="0" w:color="auto"/>
                                      </w:divBdr>
                                      <w:divsChild>
                                        <w:div w:id="1104812139">
                                          <w:marLeft w:val="0"/>
                                          <w:marRight w:val="0"/>
                                          <w:marTop w:val="0"/>
                                          <w:marBottom w:val="0"/>
                                          <w:divBdr>
                                            <w:top w:val="none" w:sz="0" w:space="0" w:color="auto"/>
                                            <w:left w:val="none" w:sz="0" w:space="0" w:color="auto"/>
                                            <w:bottom w:val="none" w:sz="0" w:space="0" w:color="auto"/>
                                            <w:right w:val="none" w:sz="0" w:space="0" w:color="auto"/>
                                          </w:divBdr>
                                          <w:divsChild>
                                            <w:div w:id="366833293">
                                              <w:marLeft w:val="0"/>
                                              <w:marRight w:val="0"/>
                                              <w:marTop w:val="0"/>
                                              <w:marBottom w:val="0"/>
                                              <w:divBdr>
                                                <w:top w:val="none" w:sz="0" w:space="0" w:color="auto"/>
                                                <w:left w:val="none" w:sz="0" w:space="0" w:color="auto"/>
                                                <w:bottom w:val="none" w:sz="0" w:space="0" w:color="auto"/>
                                                <w:right w:val="none" w:sz="0" w:space="0" w:color="auto"/>
                                              </w:divBdr>
                                              <w:divsChild>
                                                <w:div w:id="1551720412">
                                                  <w:marLeft w:val="0"/>
                                                  <w:marRight w:val="0"/>
                                                  <w:marTop w:val="0"/>
                                                  <w:marBottom w:val="0"/>
                                                  <w:divBdr>
                                                    <w:top w:val="none" w:sz="0" w:space="0" w:color="auto"/>
                                                    <w:left w:val="none" w:sz="0" w:space="0" w:color="auto"/>
                                                    <w:bottom w:val="none" w:sz="0" w:space="0" w:color="auto"/>
                                                    <w:right w:val="none" w:sz="0" w:space="0" w:color="auto"/>
                                                  </w:divBdr>
                                                  <w:divsChild>
                                                    <w:div w:id="1122072160">
                                                      <w:marLeft w:val="0"/>
                                                      <w:marRight w:val="0"/>
                                                      <w:marTop w:val="0"/>
                                                      <w:marBottom w:val="345"/>
                                                      <w:divBdr>
                                                        <w:top w:val="none" w:sz="0" w:space="0" w:color="auto"/>
                                                        <w:left w:val="none" w:sz="0" w:space="0" w:color="auto"/>
                                                        <w:bottom w:val="none" w:sz="0" w:space="0" w:color="auto"/>
                                                        <w:right w:val="none" w:sz="0" w:space="0" w:color="auto"/>
                                                      </w:divBdr>
                                                      <w:divsChild>
                                                        <w:div w:id="121582007">
                                                          <w:marLeft w:val="0"/>
                                                          <w:marRight w:val="0"/>
                                                          <w:marTop w:val="0"/>
                                                          <w:marBottom w:val="0"/>
                                                          <w:divBdr>
                                                            <w:top w:val="none" w:sz="0" w:space="0" w:color="auto"/>
                                                            <w:left w:val="none" w:sz="0" w:space="0" w:color="auto"/>
                                                            <w:bottom w:val="none" w:sz="0" w:space="0" w:color="auto"/>
                                                            <w:right w:val="none" w:sz="0" w:space="0" w:color="auto"/>
                                                          </w:divBdr>
                                                          <w:divsChild>
                                                            <w:div w:id="1913075626">
                                                              <w:marLeft w:val="0"/>
                                                              <w:marRight w:val="0"/>
                                                              <w:marTop w:val="0"/>
                                                              <w:marBottom w:val="0"/>
                                                              <w:divBdr>
                                                                <w:top w:val="none" w:sz="0" w:space="0" w:color="auto"/>
                                                                <w:left w:val="none" w:sz="0" w:space="0" w:color="auto"/>
                                                                <w:bottom w:val="none" w:sz="0" w:space="0" w:color="auto"/>
                                                                <w:right w:val="none" w:sz="0" w:space="0" w:color="auto"/>
                                                              </w:divBdr>
                                                              <w:divsChild>
                                                                <w:div w:id="1169760118">
                                                                  <w:marLeft w:val="0"/>
                                                                  <w:marRight w:val="0"/>
                                                                  <w:marTop w:val="0"/>
                                                                  <w:marBottom w:val="0"/>
                                                                  <w:divBdr>
                                                                    <w:top w:val="none" w:sz="0" w:space="0" w:color="auto"/>
                                                                    <w:left w:val="none" w:sz="0" w:space="0" w:color="auto"/>
                                                                    <w:bottom w:val="none" w:sz="0" w:space="0" w:color="auto"/>
                                                                    <w:right w:val="none" w:sz="0" w:space="0" w:color="auto"/>
                                                                  </w:divBdr>
                                                                  <w:divsChild>
                                                                    <w:div w:id="1003168675">
                                                                      <w:marLeft w:val="0"/>
                                                                      <w:marRight w:val="0"/>
                                                                      <w:marTop w:val="0"/>
                                                                      <w:marBottom w:val="0"/>
                                                                      <w:divBdr>
                                                                        <w:top w:val="none" w:sz="0" w:space="0" w:color="auto"/>
                                                                        <w:left w:val="none" w:sz="0" w:space="0" w:color="auto"/>
                                                                        <w:bottom w:val="none" w:sz="0" w:space="0" w:color="auto"/>
                                                                        <w:right w:val="none" w:sz="0" w:space="0" w:color="auto"/>
                                                                      </w:divBdr>
                                                                      <w:divsChild>
                                                                        <w:div w:id="1221097438">
                                                                          <w:marLeft w:val="0"/>
                                                                          <w:marRight w:val="0"/>
                                                                          <w:marTop w:val="0"/>
                                                                          <w:marBottom w:val="0"/>
                                                                          <w:divBdr>
                                                                            <w:top w:val="none" w:sz="0" w:space="0" w:color="auto"/>
                                                                            <w:left w:val="none" w:sz="0" w:space="0" w:color="auto"/>
                                                                            <w:bottom w:val="none" w:sz="0" w:space="0" w:color="auto"/>
                                                                            <w:right w:val="none" w:sz="0" w:space="0" w:color="auto"/>
                                                                          </w:divBdr>
                                                                          <w:divsChild>
                                                                            <w:div w:id="388041534">
                                                                              <w:marLeft w:val="0"/>
                                                                              <w:marRight w:val="0"/>
                                                                              <w:marTop w:val="0"/>
                                                                              <w:marBottom w:val="0"/>
                                                                              <w:divBdr>
                                                                                <w:top w:val="none" w:sz="0" w:space="0" w:color="auto"/>
                                                                                <w:left w:val="none" w:sz="0" w:space="0" w:color="auto"/>
                                                                                <w:bottom w:val="none" w:sz="0" w:space="0" w:color="auto"/>
                                                                                <w:right w:val="none" w:sz="0" w:space="0" w:color="auto"/>
                                                                              </w:divBdr>
                                                                              <w:divsChild>
                                                                                <w:div w:id="1621182186">
                                                                                  <w:marLeft w:val="0"/>
                                                                                  <w:marRight w:val="0"/>
                                                                                  <w:marTop w:val="0"/>
                                                                                  <w:marBottom w:val="0"/>
                                                                                  <w:divBdr>
                                                                                    <w:top w:val="none" w:sz="0" w:space="0" w:color="auto"/>
                                                                                    <w:left w:val="none" w:sz="0" w:space="0" w:color="auto"/>
                                                                                    <w:bottom w:val="none" w:sz="0" w:space="0" w:color="auto"/>
                                                                                    <w:right w:val="none" w:sz="0" w:space="0" w:color="auto"/>
                                                                                  </w:divBdr>
                                                                                  <w:divsChild>
                                                                                    <w:div w:id="50617847">
                                                                                      <w:marLeft w:val="0"/>
                                                                                      <w:marRight w:val="0"/>
                                                                                      <w:marTop w:val="0"/>
                                                                                      <w:marBottom w:val="0"/>
                                                                                      <w:divBdr>
                                                                                        <w:top w:val="none" w:sz="0" w:space="0" w:color="auto"/>
                                                                                        <w:left w:val="none" w:sz="0" w:space="0" w:color="auto"/>
                                                                                        <w:bottom w:val="none" w:sz="0" w:space="0" w:color="auto"/>
                                                                                        <w:right w:val="none" w:sz="0" w:space="0" w:color="auto"/>
                                                                                      </w:divBdr>
                                                                                      <w:divsChild>
                                                                                        <w:div w:id="907299718">
                                                                                          <w:marLeft w:val="0"/>
                                                                                          <w:marRight w:val="0"/>
                                                                                          <w:marTop w:val="0"/>
                                                                                          <w:marBottom w:val="0"/>
                                                                                          <w:divBdr>
                                                                                            <w:top w:val="none" w:sz="0" w:space="0" w:color="auto"/>
                                                                                            <w:left w:val="none" w:sz="0" w:space="0" w:color="auto"/>
                                                                                            <w:bottom w:val="none" w:sz="0" w:space="0" w:color="auto"/>
                                                                                            <w:right w:val="none" w:sz="0" w:space="0" w:color="auto"/>
                                                                                          </w:divBdr>
                                                                                          <w:divsChild>
                                                                                            <w:div w:id="682974332">
                                                                                              <w:marLeft w:val="0"/>
                                                                                              <w:marRight w:val="0"/>
                                                                                              <w:marTop w:val="0"/>
                                                                                              <w:marBottom w:val="0"/>
                                                                                              <w:divBdr>
                                                                                                <w:top w:val="none" w:sz="0" w:space="0" w:color="auto"/>
                                                                                                <w:left w:val="none" w:sz="0" w:space="0" w:color="auto"/>
                                                                                                <w:bottom w:val="none" w:sz="0" w:space="0" w:color="auto"/>
                                                                                                <w:right w:val="none" w:sz="0" w:space="0" w:color="auto"/>
                                                                                              </w:divBdr>
                                                                                              <w:divsChild>
                                                                                                <w:div w:id="1772819789">
                                                                                                  <w:marLeft w:val="300"/>
                                                                                                  <w:marRight w:val="0"/>
                                                                                                  <w:marTop w:val="0"/>
                                                                                                  <w:marBottom w:val="0"/>
                                                                                                  <w:divBdr>
                                                                                                    <w:top w:val="none" w:sz="0" w:space="0" w:color="auto"/>
                                                                                                    <w:left w:val="none" w:sz="0" w:space="0" w:color="auto"/>
                                                                                                    <w:bottom w:val="none" w:sz="0" w:space="0" w:color="auto"/>
                                                                                                    <w:right w:val="none" w:sz="0" w:space="0" w:color="auto"/>
                                                                                                  </w:divBdr>
                                                                                                  <w:divsChild>
                                                                                                    <w:div w:id="268583139">
                                                                                                      <w:marLeft w:val="0"/>
                                                                                                      <w:marRight w:val="0"/>
                                                                                                      <w:marTop w:val="0"/>
                                                                                                      <w:marBottom w:val="0"/>
                                                                                                      <w:divBdr>
                                                                                                        <w:top w:val="none" w:sz="0" w:space="0" w:color="auto"/>
                                                                                                        <w:left w:val="none" w:sz="0" w:space="0" w:color="auto"/>
                                                                                                        <w:bottom w:val="none" w:sz="0" w:space="0" w:color="auto"/>
                                                                                                        <w:right w:val="none" w:sz="0" w:space="0" w:color="auto"/>
                                                                                                      </w:divBdr>
                                                                                                      <w:divsChild>
                                                                                                        <w:div w:id="109820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lo.org/beirut/media-centre/fs/WCMS_214722/lang--en/index.htm" TargetMode="External"/><Relationship Id="rId13" Type="http://schemas.openxmlformats.org/officeDocument/2006/relationships/hyperlink" Target="http://glossary.uis.unesco.org/glossary/map/terms/17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is.unesco.org/Library/Documents/eiguide09-en.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is.unesco.org/Education/Documents/isced-2011-en.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unesco.org/education/pdf/SALAMA_E.PDF" TargetMode="External"/><Relationship Id="rId4" Type="http://schemas.openxmlformats.org/officeDocument/2006/relationships/settings" Target="settings.xml"/><Relationship Id="rId9" Type="http://schemas.openxmlformats.org/officeDocument/2006/relationships/hyperlink" Target="https://stats.oecd.org/glossary/detail.asp?ID=743"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noradintra.mfadir.no/Documents/Tilskuddsforvaltningsenheten/H&#229;ndb&#248;ker/H&#229;ndbok_UD_Tilskuddsforv_mai_2013_TOC.pdf" TargetMode="External"/><Relationship Id="rId2" Type="http://schemas.openxmlformats.org/officeDocument/2006/relationships/hyperlink" Target="http://glossary.uis.unesco.org/glossary/map/terms/176" TargetMode="External"/><Relationship Id="rId1" Type="http://schemas.openxmlformats.org/officeDocument/2006/relationships/hyperlink" Target="https://stats.oecd.org/glossary/detail.asp?ID=74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9B1448-CB16-4A45-B232-42C1A51ED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5607</Words>
  <Characters>29723</Characters>
  <Application>Microsoft Office Word</Application>
  <DocSecurity>0</DocSecurity>
  <Lines>247</Lines>
  <Paragraphs>70</Paragraphs>
  <ScaleCrop>false</ScaleCrop>
  <HeadingPairs>
    <vt:vector size="2" baseType="variant">
      <vt:variant>
        <vt:lpstr>Title</vt:lpstr>
      </vt:variant>
      <vt:variant>
        <vt:i4>1</vt:i4>
      </vt:variant>
    </vt:vector>
  </HeadingPairs>
  <TitlesOfParts>
    <vt:vector size="1" baseType="lpstr">
      <vt:lpstr/>
    </vt:vector>
  </TitlesOfParts>
  <Company>MFA</Company>
  <LinksUpToDate>false</LinksUpToDate>
  <CharactersWithSpaces>35260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Leonhardsen, Lene</dc:creator>
  <cp:keywords/>
  <dc:description/>
  <cp:lastModifiedBy>Leonhardsen, Lene</cp:lastModifiedBy>
  <cp:revision>3</cp:revision>
  <cp:lastPrinted>2016-08-01T12:36:00Z</cp:lastPrinted>
  <dcterms:created xsi:type="dcterms:W3CDTF">2016-12-18T19:30:00Z</dcterms:created>
  <dcterms:modified xsi:type="dcterms:W3CDTF">2016-12-18T19:32:00Z</dcterms:modified>
</cp:coreProperties>
</file>